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4086" w14:textId="490894CB" w:rsidR="007025C6" w:rsidRPr="004013E7" w:rsidRDefault="002B289E">
      <w:pPr>
        <w:spacing w:after="0" w:line="259" w:lineRule="auto"/>
        <w:ind w:left="0" w:right="6" w:firstLine="0"/>
        <w:jc w:val="center"/>
      </w:pPr>
      <w:r w:rsidRPr="004013E7">
        <w:rPr>
          <w:b/>
        </w:rPr>
        <w:t xml:space="preserve">HE TERMS AND CONDITIONS OF ENROLMENT </w:t>
      </w:r>
      <w:r w:rsidR="0029310B" w:rsidRPr="004013E7">
        <w:rPr>
          <w:b/>
        </w:rPr>
        <w:t>2026-2027</w:t>
      </w:r>
    </w:p>
    <w:p w14:paraId="521B370F" w14:textId="77777777" w:rsidR="007025C6" w:rsidRPr="004013E7" w:rsidRDefault="002B289E">
      <w:pPr>
        <w:spacing w:after="0" w:line="259" w:lineRule="auto"/>
        <w:ind w:left="0" w:right="0" w:firstLine="0"/>
        <w:jc w:val="left"/>
      </w:pPr>
      <w:r w:rsidRPr="004013E7">
        <w:rPr>
          <w:b/>
        </w:rPr>
        <w:t xml:space="preserve"> </w:t>
      </w:r>
    </w:p>
    <w:p w14:paraId="791C273E" w14:textId="6DD01811" w:rsidR="007025C6" w:rsidRPr="004013E7" w:rsidRDefault="002B289E">
      <w:pPr>
        <w:ind w:right="0"/>
      </w:pPr>
      <w:r w:rsidRPr="004013E7">
        <w:t>In becoming a student at The Northern School of Art [</w:t>
      </w:r>
      <w:r w:rsidR="0092676B" w:rsidRPr="004013E7">
        <w:t>t</w:t>
      </w:r>
      <w:r w:rsidRPr="004013E7">
        <w:t xml:space="preserve">he School], you agree to the various terms and conditions of enrolment at </w:t>
      </w:r>
      <w:r w:rsidR="0092676B" w:rsidRPr="004013E7">
        <w:t>t</w:t>
      </w:r>
      <w:r w:rsidRPr="004013E7">
        <w:t xml:space="preserve">he School. This includes accepting the regulations of The School, and its policies and procedures. You will be required to confirm this when you formally enrol with us. </w:t>
      </w:r>
    </w:p>
    <w:p w14:paraId="481A6BD6" w14:textId="77777777" w:rsidR="007025C6" w:rsidRPr="004013E7" w:rsidRDefault="002B289E">
      <w:pPr>
        <w:spacing w:after="0" w:line="259" w:lineRule="auto"/>
        <w:ind w:left="0" w:right="0" w:firstLine="0"/>
        <w:jc w:val="left"/>
      </w:pPr>
      <w:r w:rsidRPr="004013E7">
        <w:t xml:space="preserve"> </w:t>
      </w:r>
    </w:p>
    <w:p w14:paraId="38A7C364" w14:textId="77777777" w:rsidR="007025C6" w:rsidRPr="004013E7" w:rsidRDefault="002B289E">
      <w:pPr>
        <w:spacing w:after="147"/>
        <w:ind w:right="0"/>
      </w:pPr>
      <w:r w:rsidRPr="004013E7">
        <w:t xml:space="preserve">Our Policies and Procedures page on our </w:t>
      </w:r>
      <w:hyperlink r:id="rId5">
        <w:r w:rsidRPr="004013E7">
          <w:rPr>
            <w:color w:val="0563C1"/>
            <w:u w:val="single" w:color="0563C1"/>
          </w:rPr>
          <w:t>website</w:t>
        </w:r>
      </w:hyperlink>
      <w:hyperlink r:id="rId6">
        <w:r w:rsidRPr="004013E7">
          <w:t xml:space="preserve"> </w:t>
        </w:r>
      </w:hyperlink>
      <w:r w:rsidRPr="004013E7">
        <w:t xml:space="preserve">sets these out in: </w:t>
      </w:r>
    </w:p>
    <w:p w14:paraId="682C559C" w14:textId="77777777" w:rsidR="0092676B" w:rsidRPr="004013E7" w:rsidRDefault="002B289E">
      <w:pPr>
        <w:pStyle w:val="Heading1"/>
        <w:ind w:left="368" w:right="2656"/>
      </w:pPr>
      <w:r w:rsidRPr="004013E7">
        <w:t>HE - POLICIES AND PROCEDURES HANDBOOK</w:t>
      </w:r>
    </w:p>
    <w:p w14:paraId="16FF9438" w14:textId="30528104" w:rsidR="007025C6" w:rsidRPr="004013E7" w:rsidRDefault="002B289E">
      <w:pPr>
        <w:pStyle w:val="Heading1"/>
        <w:ind w:left="368" w:right="2656"/>
      </w:pPr>
      <w:r w:rsidRPr="004013E7">
        <w:t xml:space="preserve">STUDENT PROTECTION PLAN </w:t>
      </w:r>
    </w:p>
    <w:p w14:paraId="65E5E75B" w14:textId="77777777" w:rsidR="007025C6" w:rsidRPr="004013E7" w:rsidRDefault="002B289E">
      <w:pPr>
        <w:spacing w:after="0" w:line="259" w:lineRule="auto"/>
        <w:ind w:left="0" w:right="0" w:firstLine="0"/>
        <w:jc w:val="left"/>
      </w:pPr>
      <w:r w:rsidRPr="004013E7">
        <w:t xml:space="preserve"> </w:t>
      </w:r>
    </w:p>
    <w:p w14:paraId="3FE9850C" w14:textId="4C6354FF" w:rsidR="007025C6" w:rsidRPr="004013E7" w:rsidRDefault="002B289E">
      <w:pPr>
        <w:spacing w:after="147"/>
        <w:ind w:right="0"/>
      </w:pPr>
      <w:r w:rsidRPr="004013E7">
        <w:t xml:space="preserve">You are strongly advised to review these documents on our website to ensure that you understand the nature of the contract between you and </w:t>
      </w:r>
      <w:r w:rsidR="0092676B" w:rsidRPr="004013E7">
        <w:t>t</w:t>
      </w:r>
      <w:r w:rsidRPr="004013E7">
        <w:t xml:space="preserve">he School. These policies and procedures cover (but are not limited to) the following key areas:  </w:t>
      </w:r>
    </w:p>
    <w:p w14:paraId="7CA1E1EA" w14:textId="77777777" w:rsidR="007025C6" w:rsidRPr="004013E7" w:rsidRDefault="002B289E">
      <w:pPr>
        <w:numPr>
          <w:ilvl w:val="0"/>
          <w:numId w:val="1"/>
        </w:numPr>
        <w:ind w:right="0" w:hanging="355"/>
      </w:pPr>
      <w:r w:rsidRPr="004013E7">
        <w:t xml:space="preserve">Academic Regulations  </w:t>
      </w:r>
    </w:p>
    <w:p w14:paraId="6964D5ED" w14:textId="77777777" w:rsidR="007025C6" w:rsidRPr="004013E7" w:rsidRDefault="002B289E">
      <w:pPr>
        <w:numPr>
          <w:ilvl w:val="0"/>
          <w:numId w:val="1"/>
        </w:numPr>
        <w:ind w:right="0" w:hanging="355"/>
      </w:pPr>
      <w:r w:rsidRPr="004013E7">
        <w:t xml:space="preserve">Assessment Regulations  </w:t>
      </w:r>
    </w:p>
    <w:p w14:paraId="5C6FD21E" w14:textId="77777777" w:rsidR="007025C6" w:rsidRPr="004013E7" w:rsidRDefault="002B289E">
      <w:pPr>
        <w:numPr>
          <w:ilvl w:val="0"/>
          <w:numId w:val="1"/>
        </w:numPr>
        <w:ind w:right="0" w:hanging="355"/>
      </w:pPr>
      <w:r w:rsidRPr="004013E7">
        <w:t xml:space="preserve">Quality Assurance </w:t>
      </w:r>
    </w:p>
    <w:p w14:paraId="48DCADC0" w14:textId="77777777" w:rsidR="007025C6" w:rsidRPr="004013E7" w:rsidRDefault="002B289E">
      <w:pPr>
        <w:numPr>
          <w:ilvl w:val="0"/>
          <w:numId w:val="1"/>
        </w:numPr>
        <w:ind w:right="0" w:hanging="355"/>
      </w:pPr>
      <w:r w:rsidRPr="004013E7">
        <w:t xml:space="preserve">Academic Dishonesty </w:t>
      </w:r>
    </w:p>
    <w:p w14:paraId="55028B52" w14:textId="77777777" w:rsidR="007025C6" w:rsidRPr="004013E7" w:rsidRDefault="002B289E">
      <w:pPr>
        <w:numPr>
          <w:ilvl w:val="0"/>
          <w:numId w:val="1"/>
        </w:numPr>
        <w:ind w:right="0" w:hanging="355"/>
      </w:pPr>
      <w:r w:rsidRPr="004013E7">
        <w:t xml:space="preserve">Academic Appeals  </w:t>
      </w:r>
    </w:p>
    <w:p w14:paraId="5DA7AA32" w14:textId="167F4751" w:rsidR="007025C6" w:rsidRPr="004013E7" w:rsidRDefault="002B289E">
      <w:pPr>
        <w:numPr>
          <w:ilvl w:val="0"/>
          <w:numId w:val="1"/>
        </w:numPr>
        <w:ind w:right="0" w:hanging="355"/>
      </w:pPr>
      <w:r w:rsidRPr="004013E7">
        <w:t>Fees</w:t>
      </w:r>
      <w:r w:rsidR="0092676B" w:rsidRPr="004013E7">
        <w:t>,</w:t>
      </w:r>
      <w:r w:rsidRPr="004013E7">
        <w:t xml:space="preserve"> Charges</w:t>
      </w:r>
      <w:r w:rsidR="0092676B" w:rsidRPr="004013E7">
        <w:t>,</w:t>
      </w:r>
      <w:r w:rsidRPr="004013E7">
        <w:t xml:space="preserve"> and </w:t>
      </w:r>
      <w:r w:rsidR="0092676B" w:rsidRPr="004013E7">
        <w:t>C</w:t>
      </w:r>
      <w:r w:rsidRPr="004013E7">
        <w:t xml:space="preserve">ompensation </w:t>
      </w:r>
    </w:p>
    <w:p w14:paraId="04391F1A" w14:textId="77777777" w:rsidR="007025C6" w:rsidRPr="004013E7" w:rsidRDefault="002B289E">
      <w:pPr>
        <w:numPr>
          <w:ilvl w:val="0"/>
          <w:numId w:val="1"/>
        </w:numPr>
        <w:ind w:right="0" w:hanging="355"/>
      </w:pPr>
      <w:r w:rsidRPr="004013E7">
        <w:t xml:space="preserve">Admissions and enrolment </w:t>
      </w:r>
    </w:p>
    <w:p w14:paraId="1E6AE13E" w14:textId="77777777" w:rsidR="007025C6" w:rsidRPr="004013E7" w:rsidRDefault="002B289E">
      <w:pPr>
        <w:numPr>
          <w:ilvl w:val="0"/>
          <w:numId w:val="1"/>
        </w:numPr>
        <w:ind w:right="0" w:hanging="355"/>
      </w:pPr>
      <w:r w:rsidRPr="004013E7">
        <w:t xml:space="preserve">Programme transfer and changes </w:t>
      </w:r>
    </w:p>
    <w:p w14:paraId="054FD53A" w14:textId="77777777" w:rsidR="007025C6" w:rsidRPr="004013E7" w:rsidRDefault="002B289E">
      <w:pPr>
        <w:numPr>
          <w:ilvl w:val="0"/>
          <w:numId w:val="1"/>
        </w:numPr>
        <w:ind w:right="0" w:hanging="355"/>
      </w:pPr>
      <w:r w:rsidRPr="004013E7">
        <w:t xml:space="preserve">Attendance </w:t>
      </w:r>
    </w:p>
    <w:p w14:paraId="62B3D368" w14:textId="77777777" w:rsidR="007025C6" w:rsidRPr="004013E7" w:rsidRDefault="002B289E">
      <w:pPr>
        <w:spacing w:after="0" w:line="259" w:lineRule="auto"/>
        <w:ind w:left="0" w:right="0" w:firstLine="0"/>
        <w:jc w:val="left"/>
      </w:pPr>
      <w:r w:rsidRPr="004013E7">
        <w:t xml:space="preserve"> </w:t>
      </w:r>
    </w:p>
    <w:p w14:paraId="27C2259C" w14:textId="77777777" w:rsidR="007025C6" w:rsidRPr="004013E7" w:rsidRDefault="002B289E">
      <w:pPr>
        <w:ind w:right="0"/>
      </w:pPr>
      <w:r w:rsidRPr="004013E7">
        <w:t>Our IT &amp; Library Policies and Procedures are available to read on our</w:t>
      </w:r>
      <w:hyperlink r:id="rId7">
        <w:r w:rsidRPr="004013E7">
          <w:t xml:space="preserve"> </w:t>
        </w:r>
      </w:hyperlink>
      <w:hyperlink r:id="rId8">
        <w:r w:rsidRPr="004013E7">
          <w:rPr>
            <w:u w:val="single" w:color="000000"/>
          </w:rPr>
          <w:t>Policies and</w:t>
        </w:r>
      </w:hyperlink>
      <w:hyperlink r:id="rId9">
        <w:r w:rsidRPr="004013E7">
          <w:t xml:space="preserve"> </w:t>
        </w:r>
      </w:hyperlink>
      <w:hyperlink r:id="rId10">
        <w:r w:rsidRPr="004013E7">
          <w:rPr>
            <w:u w:val="single" w:color="000000"/>
          </w:rPr>
          <w:t>Procedures page.</w:t>
        </w:r>
      </w:hyperlink>
      <w:hyperlink r:id="rId11">
        <w:r w:rsidRPr="004013E7">
          <w:t xml:space="preserve"> </w:t>
        </w:r>
      </w:hyperlink>
      <w:r w:rsidRPr="004013E7">
        <w:t xml:space="preserve">  </w:t>
      </w:r>
    </w:p>
    <w:p w14:paraId="5E298991" w14:textId="0B672DD0" w:rsidR="007025C6" w:rsidRPr="004013E7" w:rsidRDefault="002B289E">
      <w:pPr>
        <w:ind w:right="0"/>
      </w:pPr>
      <w:r w:rsidRPr="004013E7">
        <w:t>You should also read our</w:t>
      </w:r>
      <w:hyperlink r:id="rId12">
        <w:r w:rsidRPr="004013E7">
          <w:t xml:space="preserve"> </w:t>
        </w:r>
      </w:hyperlink>
      <w:hyperlink r:id="rId13">
        <w:r w:rsidR="0092676B" w:rsidRPr="004013E7">
          <w:rPr>
            <w:u w:val="single" w:color="000000"/>
          </w:rPr>
          <w:t xml:space="preserve">HE </w:t>
        </w:r>
        <w:r w:rsidRPr="004013E7">
          <w:rPr>
            <w:u w:val="single" w:color="000000"/>
          </w:rPr>
          <w:t>Student Charter</w:t>
        </w:r>
      </w:hyperlink>
      <w:hyperlink r:id="rId14">
        <w:r w:rsidRPr="004013E7">
          <w:t>,</w:t>
        </w:r>
      </w:hyperlink>
      <w:r w:rsidRPr="004013E7">
        <w:t xml:space="preserve"> which is available on our website. </w:t>
      </w:r>
    </w:p>
    <w:p w14:paraId="7A8F6CD8" w14:textId="77777777" w:rsidR="007025C6" w:rsidRPr="004013E7" w:rsidRDefault="002B289E">
      <w:pPr>
        <w:spacing w:after="0" w:line="259" w:lineRule="auto"/>
        <w:ind w:left="0" w:right="0" w:firstLine="0"/>
        <w:jc w:val="left"/>
      </w:pPr>
      <w:r w:rsidRPr="004013E7">
        <w:t xml:space="preserve"> </w:t>
      </w:r>
    </w:p>
    <w:p w14:paraId="6B4F8D42" w14:textId="77777777" w:rsidR="007025C6" w:rsidRPr="004013E7" w:rsidRDefault="002B289E">
      <w:pPr>
        <w:ind w:right="0"/>
      </w:pPr>
      <w:r w:rsidRPr="004013E7">
        <w:t xml:space="preserve">The following gives a summary of some key information. </w:t>
      </w:r>
    </w:p>
    <w:p w14:paraId="65EB014E" w14:textId="77777777" w:rsidR="007025C6" w:rsidRPr="004013E7" w:rsidRDefault="002B289E">
      <w:pPr>
        <w:spacing w:after="0" w:line="259" w:lineRule="auto"/>
        <w:ind w:left="0" w:right="0" w:firstLine="0"/>
        <w:jc w:val="left"/>
      </w:pPr>
      <w:r w:rsidRPr="004013E7">
        <w:t xml:space="preserve"> </w:t>
      </w:r>
    </w:p>
    <w:p w14:paraId="039DEF92" w14:textId="77777777" w:rsidR="007025C6" w:rsidRPr="004013E7" w:rsidRDefault="002B289E">
      <w:pPr>
        <w:pStyle w:val="Heading1"/>
        <w:ind w:left="-5" w:right="2656"/>
      </w:pPr>
      <w:r w:rsidRPr="004013E7">
        <w:t>HE STUDENT ATTENDANCE</w:t>
      </w:r>
      <w:r w:rsidRPr="004013E7">
        <w:rPr>
          <w:b w:val="0"/>
        </w:rPr>
        <w:t xml:space="preserve"> </w:t>
      </w:r>
    </w:p>
    <w:p w14:paraId="5CFC6C89" w14:textId="431816AD" w:rsidR="007025C6" w:rsidRPr="004013E7" w:rsidRDefault="002B289E">
      <w:pPr>
        <w:ind w:right="0"/>
      </w:pPr>
      <w:r w:rsidRPr="004013E7">
        <w:t xml:space="preserve">Whilst our programmes are designed to encourage and support independent learning, you need to demonstrate effective engagement with the programme throughout your studies. All students are expected to demonstrate attendance and engagement consistent with a full-time programme of degree-level study, as outlined in the </w:t>
      </w:r>
      <w:hyperlink r:id="rId15">
        <w:r w:rsidRPr="004013E7">
          <w:rPr>
            <w:color w:val="0563C1"/>
            <w:u w:val="single" w:color="0563C1"/>
          </w:rPr>
          <w:t>HE</w:t>
        </w:r>
      </w:hyperlink>
      <w:hyperlink r:id="rId16">
        <w:r w:rsidRPr="004013E7">
          <w:rPr>
            <w:color w:val="0563C1"/>
          </w:rPr>
          <w:t xml:space="preserve"> </w:t>
        </w:r>
      </w:hyperlink>
      <w:hyperlink r:id="rId17">
        <w:r w:rsidRPr="004013E7">
          <w:rPr>
            <w:color w:val="0563C1"/>
            <w:u w:val="single" w:color="0563C1"/>
          </w:rPr>
          <w:t>Student Attendance and Engagement Procedure</w:t>
        </w:r>
      </w:hyperlink>
      <w:hyperlink r:id="rId18">
        <w:r w:rsidRPr="004013E7">
          <w:t>.</w:t>
        </w:r>
      </w:hyperlink>
      <w:r w:rsidRPr="004013E7">
        <w:t xml:space="preserve"> This forms part of the contract between the student and The School. In particular, it is recognised that the development of effective skills in collaborative and co-operative working is key to successful engagement</w:t>
      </w:r>
      <w:r w:rsidR="0092676B" w:rsidRPr="004013E7">
        <w:t>,</w:t>
      </w:r>
      <w:r w:rsidRPr="004013E7">
        <w:t xml:space="preserve"> and it is essential that students develop the ability to work with</w:t>
      </w:r>
      <w:r w:rsidR="0092676B" w:rsidRPr="004013E7">
        <w:t xml:space="preserve"> and alongside</w:t>
      </w:r>
      <w:r w:rsidRPr="004013E7">
        <w:t xml:space="preserve"> others. Although all modules include elements of independent and off-site learning</w:t>
      </w:r>
      <w:r w:rsidR="0092676B" w:rsidRPr="004013E7">
        <w:t>,</w:t>
      </w:r>
      <w:r w:rsidRPr="004013E7">
        <w:t xml:space="preserve"> tutorial monitoring, feedback and skills development are integral to the delivery of modules and to students’ progress. Patterns of attendance </w:t>
      </w:r>
      <w:r w:rsidR="0092676B" w:rsidRPr="004013E7">
        <w:t xml:space="preserve">that may indicate cause for concern will always be investigated, and action may be taken against students who do not meet </w:t>
      </w:r>
      <w:r w:rsidRPr="004013E7">
        <w:t xml:space="preserve">attendance expectations. </w:t>
      </w:r>
    </w:p>
    <w:p w14:paraId="5ADC9BF5" w14:textId="77777777" w:rsidR="007025C6" w:rsidRPr="004013E7" w:rsidRDefault="002B289E">
      <w:pPr>
        <w:spacing w:after="22" w:line="240" w:lineRule="auto"/>
        <w:ind w:left="0" w:right="8964" w:firstLine="0"/>
        <w:jc w:val="left"/>
      </w:pPr>
      <w:r w:rsidRPr="004013E7">
        <w:rPr>
          <w:b/>
        </w:rPr>
        <w:t xml:space="preserve">   </w:t>
      </w:r>
    </w:p>
    <w:p w14:paraId="5C57FE30" w14:textId="77777777" w:rsidR="007025C6" w:rsidRPr="004013E7" w:rsidRDefault="002B289E">
      <w:pPr>
        <w:pStyle w:val="Heading1"/>
        <w:ind w:left="-5" w:right="2656"/>
      </w:pPr>
      <w:r w:rsidRPr="004013E7">
        <w:lastRenderedPageBreak/>
        <w:t xml:space="preserve">FEES &amp; CHARGES </w:t>
      </w:r>
    </w:p>
    <w:p w14:paraId="36BF5EC4" w14:textId="4DA054F9" w:rsidR="007025C6" w:rsidRPr="004013E7" w:rsidRDefault="002B289E">
      <w:pPr>
        <w:spacing w:after="149"/>
        <w:ind w:right="0"/>
      </w:pPr>
      <w:r w:rsidRPr="004013E7">
        <w:t xml:space="preserve">Once you have commenced a programme, </w:t>
      </w:r>
      <w:r w:rsidR="0092676B" w:rsidRPr="004013E7">
        <w:t xml:space="preserve">the School </w:t>
      </w:r>
      <w:r w:rsidRPr="004013E7">
        <w:t xml:space="preserve">will not </w:t>
      </w:r>
      <w:r w:rsidR="0092676B" w:rsidRPr="004013E7">
        <w:t xml:space="preserve">increase fees in subsequent years of the planned programme (assuming continuous study), </w:t>
      </w:r>
      <w:r w:rsidRPr="004013E7">
        <w:t xml:space="preserve">higher than the available Student Loan Company (SLC) funding limit. You should note in particular:  </w:t>
      </w:r>
    </w:p>
    <w:p w14:paraId="66A34B2F" w14:textId="6355B18C" w:rsidR="007025C6" w:rsidRPr="004013E7" w:rsidRDefault="0092676B">
      <w:pPr>
        <w:numPr>
          <w:ilvl w:val="0"/>
          <w:numId w:val="2"/>
        </w:numPr>
        <w:spacing w:after="28"/>
        <w:ind w:right="0" w:hanging="360"/>
      </w:pPr>
      <w:r w:rsidRPr="004013E7">
        <w:t>The</w:t>
      </w:r>
      <w:r w:rsidR="002B289E" w:rsidRPr="004013E7">
        <w:t xml:space="preserve"> fees you pay for the programme give you access to the teaching, assessment and resources necessary to complete your programme satisfactorily. If you have not paid your fees for the programme or agreed </w:t>
      </w:r>
      <w:r w:rsidRPr="004013E7">
        <w:t>on a payment plan, you may be barred from accessing resources (including the Library and academic IT resources). If</w:t>
      </w:r>
      <w:r w:rsidR="002B289E" w:rsidRPr="004013E7">
        <w:t xml:space="preserve"> this situation continues, you may be barred from teaching and assessment.  </w:t>
      </w:r>
    </w:p>
    <w:p w14:paraId="21883CF1" w14:textId="77777777" w:rsidR="007025C6" w:rsidRPr="004013E7" w:rsidRDefault="002B289E">
      <w:pPr>
        <w:numPr>
          <w:ilvl w:val="0"/>
          <w:numId w:val="2"/>
        </w:numPr>
        <w:spacing w:after="31"/>
        <w:ind w:right="0" w:hanging="360"/>
      </w:pPr>
      <w:r w:rsidRPr="004013E7">
        <w:t xml:space="preserve">If you have outstanding academic debts to The School, and have not agreed a </w:t>
      </w:r>
    </w:p>
    <w:p w14:paraId="0296AE7D" w14:textId="69893F4B" w:rsidR="007025C6" w:rsidRPr="004013E7" w:rsidRDefault="002B289E" w:rsidP="0092676B">
      <w:pPr>
        <w:spacing w:after="31"/>
        <w:ind w:left="705" w:right="0" w:firstLine="0"/>
      </w:pPr>
      <w:r w:rsidRPr="004013E7">
        <w:t>satisfactory payment plan, you may not be permitted to enrol for subsequent years of study. Academic debts include outstanding fee payments, or any money you owe for programme-related activities</w:t>
      </w:r>
      <w:r w:rsidR="0092676B" w:rsidRPr="004013E7">
        <w:t>,</w:t>
      </w:r>
      <w:r w:rsidRPr="004013E7">
        <w:t xml:space="preserve"> including educational visits, equipment you have bought from The School, or Library debts. Each case will be decided on its merits, but enrolment will not be withheld if your academic debt is less than £250.  </w:t>
      </w:r>
    </w:p>
    <w:p w14:paraId="69B0A914" w14:textId="77777777" w:rsidR="007025C6" w:rsidRPr="004013E7" w:rsidRDefault="002B289E">
      <w:pPr>
        <w:numPr>
          <w:ilvl w:val="0"/>
          <w:numId w:val="2"/>
        </w:numPr>
        <w:ind w:right="0" w:hanging="360"/>
      </w:pPr>
      <w:r w:rsidRPr="004013E7">
        <w:t xml:space="preserve">Any contract you hold for The School Student Accommodation is separate from your contract for learning and teaching, and debts will be treated separately. </w:t>
      </w:r>
    </w:p>
    <w:p w14:paraId="395362E6" w14:textId="77777777" w:rsidR="007025C6" w:rsidRPr="004013E7" w:rsidRDefault="002B289E">
      <w:pPr>
        <w:spacing w:after="0" w:line="259" w:lineRule="auto"/>
        <w:ind w:left="0" w:right="0" w:firstLine="0"/>
        <w:jc w:val="left"/>
      </w:pPr>
      <w:r w:rsidRPr="004013E7">
        <w:rPr>
          <w:b/>
        </w:rPr>
        <w:t xml:space="preserve"> </w:t>
      </w:r>
    </w:p>
    <w:p w14:paraId="4F05DAFC" w14:textId="77777777" w:rsidR="007025C6" w:rsidRPr="004013E7" w:rsidRDefault="002B289E">
      <w:pPr>
        <w:pStyle w:val="Heading1"/>
        <w:ind w:left="-5" w:right="2656"/>
      </w:pPr>
      <w:r w:rsidRPr="004013E7">
        <w:t xml:space="preserve">EQUALITY &amp; DIVERSITY </w:t>
      </w:r>
    </w:p>
    <w:p w14:paraId="2EAECFB0" w14:textId="77777777" w:rsidR="007025C6" w:rsidRPr="004013E7" w:rsidRDefault="002B289E">
      <w:pPr>
        <w:ind w:right="0"/>
      </w:pPr>
      <w:r w:rsidRPr="004013E7">
        <w:t>The School takes equality and diversity very seriously and is committed to achieving fairness and equality for all who learn and work at The School. Its principles of equality and diversity are summarised as: The School is committed to the principles of equality and diversity and aims to ensure that all employees and The School users are treated fairly and equally regardless of age, disability, gender reassignment, marriage and civil partnership, pregnancy and maternity, race, religion or belief, sex, or sexual orientation</w:t>
      </w:r>
      <w:r w:rsidRPr="004013E7">
        <w:rPr>
          <w:b/>
        </w:rPr>
        <w:t xml:space="preserve">. </w:t>
      </w:r>
    </w:p>
    <w:p w14:paraId="03625A20" w14:textId="77777777" w:rsidR="007025C6" w:rsidRPr="004013E7" w:rsidRDefault="002B289E">
      <w:pPr>
        <w:spacing w:after="0" w:line="259" w:lineRule="auto"/>
        <w:ind w:left="0" w:right="0" w:firstLine="0"/>
        <w:jc w:val="left"/>
      </w:pPr>
      <w:r w:rsidRPr="004013E7">
        <w:rPr>
          <w:b/>
        </w:rPr>
        <w:t xml:space="preserve"> </w:t>
      </w:r>
    </w:p>
    <w:p w14:paraId="6F28202A" w14:textId="77777777" w:rsidR="007025C6" w:rsidRPr="004013E7" w:rsidRDefault="002B289E">
      <w:pPr>
        <w:pStyle w:val="Heading1"/>
        <w:ind w:left="-5" w:right="2656"/>
      </w:pPr>
      <w:r w:rsidRPr="004013E7">
        <w:t xml:space="preserve">ASSESSMENT REGULATIONS </w:t>
      </w:r>
    </w:p>
    <w:p w14:paraId="7166E158" w14:textId="77777777" w:rsidR="007025C6" w:rsidRPr="004013E7" w:rsidRDefault="002B289E">
      <w:pPr>
        <w:spacing w:after="149"/>
        <w:ind w:right="0"/>
      </w:pPr>
      <w:r w:rsidRPr="004013E7">
        <w:t xml:space="preserve">You will also be required to accept the relevant academic regulations for your level of study, including:  </w:t>
      </w:r>
    </w:p>
    <w:p w14:paraId="12DFD100" w14:textId="6BFA9CB0" w:rsidR="007025C6" w:rsidRPr="004013E7" w:rsidRDefault="0092676B">
      <w:pPr>
        <w:numPr>
          <w:ilvl w:val="0"/>
          <w:numId w:val="3"/>
        </w:numPr>
        <w:ind w:right="0" w:hanging="360"/>
      </w:pPr>
      <w:r w:rsidRPr="004013E7">
        <w:t>t</w:t>
      </w:r>
      <w:r w:rsidR="002B289E" w:rsidRPr="004013E7">
        <w:t xml:space="preserve">he assessment regulations include the regulations on </w:t>
      </w:r>
      <w:r w:rsidRPr="004013E7">
        <w:t xml:space="preserve">the </w:t>
      </w:r>
      <w:r w:rsidR="002B289E" w:rsidRPr="004013E7">
        <w:t xml:space="preserve">late submission of work; </w:t>
      </w:r>
    </w:p>
    <w:p w14:paraId="2F61B35C" w14:textId="77EA6DDF" w:rsidR="007025C6" w:rsidRPr="004013E7" w:rsidRDefault="0092676B">
      <w:pPr>
        <w:numPr>
          <w:ilvl w:val="0"/>
          <w:numId w:val="3"/>
        </w:numPr>
        <w:ind w:right="0" w:hanging="360"/>
      </w:pPr>
      <w:r w:rsidRPr="004013E7">
        <w:t>what</w:t>
      </w:r>
      <w:r w:rsidR="002B289E" w:rsidRPr="004013E7">
        <w:t xml:space="preserve"> happens if you fail a module;  </w:t>
      </w:r>
    </w:p>
    <w:p w14:paraId="522A9967" w14:textId="236D63FE" w:rsidR="007025C6" w:rsidRPr="004013E7" w:rsidRDefault="0092676B">
      <w:pPr>
        <w:numPr>
          <w:ilvl w:val="0"/>
          <w:numId w:val="3"/>
        </w:numPr>
        <w:ind w:right="0" w:hanging="360"/>
      </w:pPr>
      <w:r w:rsidRPr="004013E7">
        <w:t>t</w:t>
      </w:r>
      <w:r w:rsidR="002B289E" w:rsidRPr="004013E7">
        <w:t>he conditions of progression to the next level of the programme</w:t>
      </w:r>
      <w:r w:rsidRPr="004013E7">
        <w:t>,</w:t>
      </w:r>
      <w:r w:rsidR="002B289E" w:rsidRPr="004013E7">
        <w:t xml:space="preserve"> and </w:t>
      </w:r>
      <w:r w:rsidR="002B289E" w:rsidRPr="004013E7">
        <w:rPr>
          <w:rFonts w:ascii="Segoe UI Symbol" w:eastAsia="Segoe UI Symbol" w:hAnsi="Segoe UI Symbol" w:cs="Segoe UI Symbol"/>
        </w:rPr>
        <w:t></w:t>
      </w:r>
      <w:r w:rsidR="002B289E" w:rsidRPr="004013E7">
        <w:t xml:space="preserve"> the way in which your final award will be determined.  </w:t>
      </w:r>
    </w:p>
    <w:p w14:paraId="474BDB1C" w14:textId="77777777" w:rsidR="007025C6" w:rsidRPr="004013E7" w:rsidRDefault="002B289E">
      <w:pPr>
        <w:spacing w:after="0" w:line="259" w:lineRule="auto"/>
        <w:ind w:left="0" w:right="0" w:firstLine="0"/>
        <w:jc w:val="left"/>
      </w:pPr>
      <w:r w:rsidRPr="004013E7">
        <w:t xml:space="preserve"> </w:t>
      </w:r>
    </w:p>
    <w:p w14:paraId="4421A115" w14:textId="77777777" w:rsidR="007025C6" w:rsidRPr="004013E7" w:rsidRDefault="002B289E">
      <w:pPr>
        <w:spacing w:after="149"/>
        <w:ind w:right="0"/>
      </w:pPr>
      <w:r w:rsidRPr="004013E7">
        <w:t xml:space="preserve">You should note in particular:  </w:t>
      </w:r>
    </w:p>
    <w:p w14:paraId="592D6949" w14:textId="77777777" w:rsidR="007025C6" w:rsidRPr="004013E7" w:rsidRDefault="002B289E">
      <w:pPr>
        <w:numPr>
          <w:ilvl w:val="0"/>
          <w:numId w:val="3"/>
        </w:numPr>
        <w:spacing w:after="25"/>
        <w:ind w:right="0" w:hanging="360"/>
      </w:pPr>
      <w:r w:rsidRPr="004013E7">
        <w:t xml:space="preserve">You have to pass all the modules in each year to be permitted to progress to the next year of the programme.  </w:t>
      </w:r>
    </w:p>
    <w:p w14:paraId="3E2CFA60" w14:textId="50B508C2" w:rsidR="007025C6" w:rsidRPr="004013E7" w:rsidRDefault="002B289E">
      <w:pPr>
        <w:numPr>
          <w:ilvl w:val="0"/>
          <w:numId w:val="3"/>
        </w:numPr>
        <w:spacing w:after="29"/>
        <w:ind w:right="0" w:hanging="360"/>
      </w:pPr>
      <w:r w:rsidRPr="004013E7">
        <w:t xml:space="preserve">If you fail a module, you will be given one attempt to pass it. If you fail </w:t>
      </w:r>
      <w:r w:rsidR="0092676B" w:rsidRPr="004013E7">
        <w:t>on</w:t>
      </w:r>
      <w:r w:rsidRPr="004013E7">
        <w:t xml:space="preserve"> the second attempt, you may be given a third opportunity, but this will depend on your overall profile of achievement.  </w:t>
      </w:r>
    </w:p>
    <w:p w14:paraId="5E8DFB15" w14:textId="77777777" w:rsidR="007025C6" w:rsidRPr="004013E7" w:rsidRDefault="002B289E">
      <w:pPr>
        <w:numPr>
          <w:ilvl w:val="0"/>
          <w:numId w:val="3"/>
        </w:numPr>
        <w:ind w:right="0" w:hanging="360"/>
      </w:pPr>
      <w:r w:rsidRPr="004013E7">
        <w:lastRenderedPageBreak/>
        <w:t xml:space="preserve">You may be required to undertake some retakes during the summer break. </w:t>
      </w:r>
    </w:p>
    <w:p w14:paraId="07E6360A" w14:textId="7E1C9C8B" w:rsidR="007025C6" w:rsidRPr="004013E7" w:rsidRDefault="002B289E">
      <w:pPr>
        <w:numPr>
          <w:ilvl w:val="0"/>
          <w:numId w:val="3"/>
        </w:numPr>
        <w:ind w:right="0" w:hanging="360"/>
      </w:pPr>
      <w:r w:rsidRPr="004013E7">
        <w:t>Your final undergraduate degree classification is based on your marks at Levels 5 and 6 (</w:t>
      </w:r>
      <w:r w:rsidR="0029310B" w:rsidRPr="004013E7">
        <w:t>usually</w:t>
      </w:r>
      <w:r w:rsidRPr="004013E7">
        <w:t xml:space="preserve"> the second and third year of study), and your postgraduate degree classification is based on all your marks at Level 7.  </w:t>
      </w:r>
    </w:p>
    <w:p w14:paraId="25B3D635" w14:textId="77777777" w:rsidR="007025C6" w:rsidRPr="004013E7" w:rsidRDefault="002B289E">
      <w:pPr>
        <w:spacing w:after="0" w:line="259" w:lineRule="auto"/>
        <w:ind w:left="0" w:right="0" w:firstLine="0"/>
        <w:jc w:val="left"/>
      </w:pPr>
      <w:r w:rsidRPr="004013E7">
        <w:rPr>
          <w:b/>
        </w:rPr>
        <w:t xml:space="preserve"> </w:t>
      </w:r>
    </w:p>
    <w:p w14:paraId="7F2D680C" w14:textId="77777777" w:rsidR="007025C6" w:rsidRPr="004013E7" w:rsidRDefault="002B289E">
      <w:pPr>
        <w:pStyle w:val="Heading1"/>
        <w:ind w:left="-5" w:right="2656"/>
      </w:pPr>
      <w:r w:rsidRPr="004013E7">
        <w:t xml:space="preserve">CHANGES TO YOUR OFFER </w:t>
      </w:r>
    </w:p>
    <w:p w14:paraId="16272FA7" w14:textId="38024F4D" w:rsidR="0092676B" w:rsidRPr="004013E7" w:rsidRDefault="002B289E">
      <w:pPr>
        <w:ind w:right="0"/>
      </w:pPr>
      <w:r w:rsidRPr="004013E7">
        <w:t xml:space="preserve">The offer we make </w:t>
      </w:r>
      <w:r w:rsidR="0092676B" w:rsidRPr="004013E7">
        <w:t xml:space="preserve">to </w:t>
      </w:r>
      <w:r w:rsidRPr="004013E7">
        <w:t xml:space="preserve">you is made in good faith, and </w:t>
      </w:r>
      <w:r w:rsidR="0092676B" w:rsidRPr="004013E7">
        <w:t>t</w:t>
      </w:r>
      <w:r w:rsidRPr="004013E7">
        <w:t xml:space="preserve">he School has every intention of honouring </w:t>
      </w:r>
      <w:r w:rsidR="0029310B" w:rsidRPr="004013E7">
        <w:t>its commitment</w:t>
      </w:r>
      <w:r w:rsidRPr="004013E7">
        <w:t xml:space="preserve">. However, there may be occasions where we do need to make changes. For example, we may be required to respond to Government legislation or statutory requirements. On rare occasions, we may also wish to update our policies and procedures after the first UCAS </w:t>
      </w:r>
      <w:r w:rsidR="0092676B" w:rsidRPr="004013E7">
        <w:t>‘</w:t>
      </w:r>
      <w:r w:rsidRPr="004013E7">
        <w:t>Decline by Default</w:t>
      </w:r>
      <w:r w:rsidR="0092676B" w:rsidRPr="004013E7">
        <w:t>’</w:t>
      </w:r>
      <w:r w:rsidRPr="004013E7">
        <w:t xml:space="preserve"> date. This will only be done in consultation with the student body, and the </w:t>
      </w:r>
      <w:r w:rsidR="0092676B" w:rsidRPr="004013E7">
        <w:t>students’</w:t>
      </w:r>
      <w:r w:rsidRPr="004013E7">
        <w:t xml:space="preserve"> </w:t>
      </w:r>
      <w:r w:rsidR="0092676B" w:rsidRPr="004013E7">
        <w:t>interests are</w:t>
      </w:r>
      <w:r w:rsidRPr="004013E7">
        <w:t xml:space="preserve"> always considered. If we do make changes of this type, we shall tell you as soon as possible. </w:t>
      </w:r>
    </w:p>
    <w:p w14:paraId="5C524712" w14:textId="77777777" w:rsidR="0092676B" w:rsidRPr="004013E7" w:rsidRDefault="002B289E" w:rsidP="0092676B">
      <w:pPr>
        <w:spacing w:before="120" w:after="120" w:line="252" w:lineRule="auto"/>
        <w:ind w:left="11" w:right="0" w:hanging="11"/>
      </w:pPr>
      <w:r w:rsidRPr="004013E7">
        <w:t xml:space="preserve">On very rare occasions, we may decide not to deliver a programme in a particular year. This might happen if, for instance, the minimum number of students needed to ensure a good educational or student experience has not been met. If we </w:t>
      </w:r>
      <w:r w:rsidR="0092676B" w:rsidRPr="004013E7">
        <w:t xml:space="preserve">decide not to enrol students on a particular programme, we shall make this decision by 15 May of the year and </w:t>
      </w:r>
      <w:r w:rsidRPr="004013E7">
        <w:t xml:space="preserve">endeavour to offer you a place on another suitable programme. It is important that we make regular changes to programmes to ensure that they remain current, including the most </w:t>
      </w:r>
      <w:r w:rsidR="0092676B" w:rsidRPr="004013E7">
        <w:t>up-to-date</w:t>
      </w:r>
      <w:r w:rsidRPr="004013E7">
        <w:t xml:space="preserve"> knowledge in the subject area, and also so that we take advantage of educational opportunities which arise. We also make changes in response to student feedback.  </w:t>
      </w:r>
    </w:p>
    <w:p w14:paraId="0BFD886D" w14:textId="3D702AEF" w:rsidR="007025C6" w:rsidRPr="004013E7" w:rsidRDefault="002B289E" w:rsidP="0092676B">
      <w:pPr>
        <w:spacing w:before="120" w:after="120" w:line="252" w:lineRule="auto"/>
        <w:ind w:left="11" w:right="0" w:hanging="11"/>
      </w:pPr>
      <w:r w:rsidRPr="004013E7">
        <w:t>For current students, starting a programme before September 202</w:t>
      </w:r>
      <w:r w:rsidR="0029310B" w:rsidRPr="004013E7">
        <w:t>6</w:t>
      </w:r>
      <w:r w:rsidRPr="004013E7">
        <w:t xml:space="preserve">, any changes are proposed by the programme team in consultation with the student cohort, and approved by a central School committee and (if relevant) our validating partner, Arts University Bournemouth, which always considers the impact on the student experience. We shall always try to minimise any negative impact, and if any change of this type is necessary, we shall inform you as soon as possible.  </w:t>
      </w:r>
    </w:p>
    <w:p w14:paraId="55805F85" w14:textId="18F09B88" w:rsidR="007025C6" w:rsidRPr="004013E7" w:rsidRDefault="002B289E" w:rsidP="0092676B">
      <w:pPr>
        <w:spacing w:after="0" w:line="259" w:lineRule="auto"/>
        <w:ind w:left="0" w:right="0" w:firstLine="0"/>
        <w:jc w:val="left"/>
      </w:pPr>
      <w:r w:rsidRPr="004013E7">
        <w:t>The School was granted Degree Awarding Powers (DAPs) by the Office for Students in October 2024. This means that The School can now award its own degrees.  While the impact on higher education students will be minimal, there are some things that new and existing students need to be aware of for the academic year 202</w:t>
      </w:r>
      <w:r w:rsidR="0029310B" w:rsidRPr="004013E7">
        <w:t>6</w:t>
      </w:r>
      <w:r w:rsidRPr="004013E7">
        <w:t>-2</w:t>
      </w:r>
      <w:r w:rsidR="0029310B" w:rsidRPr="004013E7">
        <w:t>7</w:t>
      </w:r>
      <w:r w:rsidRPr="004013E7">
        <w:t xml:space="preserve">: </w:t>
      </w:r>
    </w:p>
    <w:p w14:paraId="38DD4B75" w14:textId="77777777" w:rsidR="007025C6" w:rsidRPr="004013E7" w:rsidRDefault="002B289E">
      <w:pPr>
        <w:spacing w:after="0" w:line="259" w:lineRule="auto"/>
        <w:ind w:left="0" w:right="0" w:firstLine="0"/>
        <w:jc w:val="left"/>
      </w:pPr>
      <w:r w:rsidRPr="004013E7">
        <w:t xml:space="preserve"> </w:t>
      </w:r>
    </w:p>
    <w:p w14:paraId="1CA48EB0" w14:textId="77777777" w:rsidR="007025C6" w:rsidRPr="004013E7" w:rsidRDefault="002B289E">
      <w:pPr>
        <w:pStyle w:val="Heading1"/>
        <w:spacing w:after="137"/>
        <w:ind w:left="-5" w:right="2656"/>
      </w:pPr>
      <w:r w:rsidRPr="004013E7">
        <w:t>New higher education students</w:t>
      </w:r>
      <w:r w:rsidRPr="004013E7">
        <w:rPr>
          <w:rFonts w:ascii="Calibri" w:eastAsia="Calibri" w:hAnsi="Calibri" w:cs="Calibri"/>
        </w:rPr>
        <w:t xml:space="preserve"> </w:t>
      </w:r>
    </w:p>
    <w:p w14:paraId="7002BED7" w14:textId="70C41FA7" w:rsidR="007025C6" w:rsidRPr="004013E7" w:rsidRDefault="002B289E">
      <w:pPr>
        <w:numPr>
          <w:ilvl w:val="0"/>
          <w:numId w:val="4"/>
        </w:numPr>
        <w:spacing w:after="30"/>
        <w:ind w:right="0" w:hanging="360"/>
      </w:pPr>
      <w:r w:rsidRPr="004013E7">
        <w:t xml:space="preserve">New students </w:t>
      </w:r>
      <w:r w:rsidR="0092676B" w:rsidRPr="004013E7">
        <w:t>enrolling in</w:t>
      </w:r>
      <w:r w:rsidRPr="004013E7">
        <w:t xml:space="preserve"> September 202</w:t>
      </w:r>
      <w:r w:rsidR="0092676B" w:rsidRPr="004013E7">
        <w:t>6,</w:t>
      </w:r>
      <w:r w:rsidRPr="004013E7">
        <w:t xml:space="preserve"> entering at level 4 (first year undergraduate)</w:t>
      </w:r>
      <w:r w:rsidR="0092676B" w:rsidRPr="004013E7">
        <w:t>, level 5 (second year</w:t>
      </w:r>
      <w:r w:rsidR="0029310B" w:rsidRPr="004013E7">
        <w:t xml:space="preserve"> undergraduate)</w:t>
      </w:r>
      <w:r w:rsidR="0092676B" w:rsidRPr="004013E7">
        <w:t xml:space="preserve"> </w:t>
      </w:r>
      <w:r w:rsidRPr="004013E7">
        <w:t xml:space="preserve">or at level 7 (postgraduate) will be </w:t>
      </w:r>
      <w:r w:rsidR="0092676B" w:rsidRPr="004013E7">
        <w:t>enrolled</w:t>
      </w:r>
      <w:r w:rsidRPr="004013E7">
        <w:t xml:space="preserve"> on a programme leading to a degree awarded by The Northern School of Art.   </w:t>
      </w:r>
    </w:p>
    <w:p w14:paraId="34603432" w14:textId="00A5A938" w:rsidR="007025C6" w:rsidRPr="004013E7" w:rsidRDefault="002B289E">
      <w:pPr>
        <w:numPr>
          <w:ilvl w:val="0"/>
          <w:numId w:val="4"/>
        </w:numPr>
        <w:ind w:right="0" w:hanging="360"/>
      </w:pPr>
      <w:r w:rsidRPr="004013E7">
        <w:t>New students in September 202</w:t>
      </w:r>
      <w:r w:rsidR="0029310B" w:rsidRPr="004013E7">
        <w:t>6</w:t>
      </w:r>
      <w:r w:rsidRPr="004013E7">
        <w:t xml:space="preserve"> entering as a </w:t>
      </w:r>
      <w:r w:rsidRPr="004013E7">
        <w:rPr>
          <w:b/>
        </w:rPr>
        <w:t>direct entrant</w:t>
      </w:r>
      <w:r w:rsidRPr="004013E7">
        <w:t xml:space="preserve"> to level 6 (</w:t>
      </w:r>
      <w:r w:rsidR="0029310B" w:rsidRPr="004013E7">
        <w:t xml:space="preserve">third year </w:t>
      </w:r>
      <w:r w:rsidRPr="004013E7">
        <w:t>undergraduate), either having transferred from another institution, or through being awarded accreditation of prior learning, will be enrolled on a programme leading to a degree awarded by our current validating partner</w:t>
      </w:r>
      <w:r w:rsidR="0092676B" w:rsidRPr="004013E7">
        <w:t>,</w:t>
      </w:r>
      <w:r w:rsidRPr="004013E7">
        <w:t xml:space="preserve"> the Arts University Bournemouth. </w:t>
      </w:r>
    </w:p>
    <w:p w14:paraId="69BF1FD4" w14:textId="77777777" w:rsidR="007025C6" w:rsidRPr="004013E7" w:rsidRDefault="002B289E">
      <w:pPr>
        <w:spacing w:after="0" w:line="259" w:lineRule="auto"/>
        <w:ind w:left="720" w:right="0" w:firstLine="0"/>
        <w:jc w:val="left"/>
      </w:pPr>
      <w:r w:rsidRPr="004013E7">
        <w:t xml:space="preserve"> </w:t>
      </w:r>
    </w:p>
    <w:p w14:paraId="6434F4A9" w14:textId="77777777" w:rsidR="007025C6" w:rsidRPr="004013E7" w:rsidRDefault="002B289E">
      <w:pPr>
        <w:pStyle w:val="Heading1"/>
        <w:spacing w:after="140"/>
        <w:ind w:left="-5" w:right="2656"/>
      </w:pPr>
      <w:r w:rsidRPr="004013E7">
        <w:lastRenderedPageBreak/>
        <w:t>Existing higher education students</w:t>
      </w:r>
      <w:r w:rsidRPr="004013E7">
        <w:rPr>
          <w:rFonts w:ascii="Calibri" w:eastAsia="Calibri" w:hAnsi="Calibri" w:cs="Calibri"/>
        </w:rPr>
        <w:t xml:space="preserve"> </w:t>
      </w:r>
    </w:p>
    <w:p w14:paraId="5E9ADFC5" w14:textId="0AA6ED39" w:rsidR="007025C6" w:rsidRPr="004013E7" w:rsidRDefault="0029310B">
      <w:pPr>
        <w:numPr>
          <w:ilvl w:val="0"/>
          <w:numId w:val="5"/>
        </w:numPr>
        <w:spacing w:after="27"/>
        <w:ind w:right="0" w:hanging="360"/>
      </w:pPr>
      <w:r w:rsidRPr="004013E7">
        <w:t>S</w:t>
      </w:r>
      <w:r w:rsidR="002B289E" w:rsidRPr="004013E7">
        <w:t xml:space="preserve">tudents </w:t>
      </w:r>
      <w:r w:rsidRPr="004013E7">
        <w:t xml:space="preserve">enrolled before 2024-2025 </w:t>
      </w:r>
      <w:r w:rsidR="002B289E" w:rsidRPr="004013E7">
        <w:t>will continue on their programme leading to a degree awarded by our current validating partner</w:t>
      </w:r>
      <w:r w:rsidRPr="004013E7">
        <w:t>,</w:t>
      </w:r>
      <w:r w:rsidR="002B289E" w:rsidRPr="004013E7">
        <w:t xml:space="preserve"> the Arts University Bournemouth. </w:t>
      </w:r>
    </w:p>
    <w:p w14:paraId="76876360" w14:textId="1EDCCFCB" w:rsidR="007025C6" w:rsidRPr="004013E7" w:rsidRDefault="002B289E">
      <w:pPr>
        <w:numPr>
          <w:ilvl w:val="0"/>
          <w:numId w:val="5"/>
        </w:numPr>
        <w:ind w:right="0" w:hanging="360"/>
      </w:pPr>
      <w:r w:rsidRPr="004013E7">
        <w:t>Existing students</w:t>
      </w:r>
      <w:r w:rsidR="0029310B" w:rsidRPr="004013E7">
        <w:t>,</w:t>
      </w:r>
      <w:r w:rsidRPr="004013E7">
        <w:t xml:space="preserve"> Level 4</w:t>
      </w:r>
      <w:r w:rsidR="0029310B" w:rsidRPr="004013E7">
        <w:t>, 5,</w:t>
      </w:r>
      <w:r w:rsidRPr="004013E7">
        <w:t xml:space="preserve"> and Level 7 students who </w:t>
      </w:r>
      <w:r w:rsidRPr="004013E7">
        <w:rPr>
          <w:b/>
        </w:rPr>
        <w:t xml:space="preserve">intermit </w:t>
      </w:r>
      <w:r w:rsidRPr="004013E7">
        <w:t xml:space="preserve">during their studies in 2024-25 (i.e., students who </w:t>
      </w:r>
      <w:r w:rsidR="0029310B" w:rsidRPr="004013E7">
        <w:t>take</w:t>
      </w:r>
      <w:r w:rsidRPr="004013E7">
        <w:t xml:space="preserve"> a break from </w:t>
      </w:r>
      <w:r w:rsidR="0029310B" w:rsidRPr="004013E7">
        <w:t>studies</w:t>
      </w:r>
      <w:r w:rsidRPr="004013E7">
        <w:t xml:space="preserve"> to return in 202</w:t>
      </w:r>
      <w:r w:rsidR="0029310B" w:rsidRPr="004013E7">
        <w:t>6-</w:t>
      </w:r>
      <w:r w:rsidRPr="004013E7">
        <w:t>2</w:t>
      </w:r>
      <w:r w:rsidR="0029310B" w:rsidRPr="004013E7">
        <w:t>7</w:t>
      </w:r>
      <w:r w:rsidRPr="004013E7">
        <w:t xml:space="preserve">), or students who are required to restudy a year, will be </w:t>
      </w:r>
      <w:r w:rsidR="0029310B" w:rsidRPr="004013E7">
        <w:t>enrolled</w:t>
      </w:r>
      <w:r w:rsidRPr="004013E7">
        <w:t xml:space="preserve"> on a programme leading to a degree awarded by The Northern School of Art. </w:t>
      </w:r>
    </w:p>
    <w:p w14:paraId="42FC5FC6" w14:textId="77777777" w:rsidR="007025C6" w:rsidRPr="004013E7" w:rsidRDefault="002B289E">
      <w:pPr>
        <w:spacing w:after="0" w:line="259" w:lineRule="auto"/>
        <w:ind w:left="0" w:right="0" w:firstLine="0"/>
        <w:jc w:val="left"/>
      </w:pPr>
      <w:r w:rsidRPr="004013E7">
        <w:rPr>
          <w:rFonts w:ascii="Calibri" w:eastAsia="Calibri" w:hAnsi="Calibri" w:cs="Calibri"/>
        </w:rPr>
        <w:t xml:space="preserve"> </w:t>
      </w:r>
    </w:p>
    <w:p w14:paraId="66F2F92E" w14:textId="77777777" w:rsidR="007025C6" w:rsidRPr="004013E7" w:rsidRDefault="002B289E">
      <w:pPr>
        <w:ind w:right="0"/>
      </w:pPr>
      <w:r w:rsidRPr="004013E7">
        <w:t xml:space="preserve">If a student intermits their studies or is required to restudy a year, they will, of course, be offered advice and guidance.  </w:t>
      </w:r>
    </w:p>
    <w:p w14:paraId="124E5A24" w14:textId="77777777" w:rsidR="007025C6" w:rsidRPr="004013E7" w:rsidRDefault="002B289E">
      <w:pPr>
        <w:spacing w:after="0" w:line="259" w:lineRule="auto"/>
        <w:ind w:left="0" w:right="0" w:firstLine="0"/>
        <w:jc w:val="left"/>
      </w:pPr>
      <w:r w:rsidRPr="004013E7">
        <w:t xml:space="preserve"> </w:t>
      </w:r>
    </w:p>
    <w:p w14:paraId="32E5713E" w14:textId="678953F7" w:rsidR="0029310B" w:rsidRPr="004013E7" w:rsidRDefault="002B289E">
      <w:pPr>
        <w:ind w:right="0"/>
      </w:pPr>
      <w:r w:rsidRPr="004013E7">
        <w:t xml:space="preserve">There are some circumstances which are outside </w:t>
      </w:r>
      <w:r w:rsidR="0029310B" w:rsidRPr="004013E7">
        <w:t>the</w:t>
      </w:r>
      <w:r w:rsidRPr="004013E7">
        <w:t xml:space="preserve"> School’s reasonable control. These </w:t>
      </w:r>
      <w:r w:rsidR="004013E7">
        <w:t xml:space="preserve">may </w:t>
      </w:r>
      <w:r w:rsidRPr="004013E7">
        <w:t>include</w:t>
      </w:r>
      <w:r w:rsidR="00DF2FF5" w:rsidRPr="004013E7">
        <w:t xml:space="preserve"> </w:t>
      </w:r>
      <w:r w:rsidRPr="004013E7">
        <w:t xml:space="preserve">severe weather, fire, the failure of electricity or internet service, civil disorder, political unrest, government restrictions or serious </w:t>
      </w:r>
      <w:r w:rsidR="0029310B" w:rsidRPr="004013E7">
        <w:t xml:space="preserve">health </w:t>
      </w:r>
      <w:r w:rsidRPr="004013E7">
        <w:t>concern</w:t>
      </w:r>
      <w:r w:rsidR="0029310B" w:rsidRPr="004013E7">
        <w:t>s</w:t>
      </w:r>
      <w:r w:rsidR="00DF2FF5" w:rsidRPr="004013E7">
        <w:t>,</w:t>
      </w:r>
      <w:r w:rsidRPr="004013E7">
        <w:t xml:space="preserve"> about the transmission of serious </w:t>
      </w:r>
      <w:r w:rsidR="004013E7" w:rsidRPr="004013E7">
        <w:t>disease, making</w:t>
      </w:r>
      <w:r w:rsidRPr="004013E7">
        <w:t xml:space="preserve"> a programme unsafe to deliver. </w:t>
      </w:r>
    </w:p>
    <w:p w14:paraId="00794976" w14:textId="77777777" w:rsidR="0029310B" w:rsidRPr="004013E7" w:rsidRDefault="002B289E" w:rsidP="007112E0">
      <w:pPr>
        <w:spacing w:before="120" w:after="120" w:line="252" w:lineRule="auto"/>
        <w:ind w:left="11" w:right="0" w:hanging="11"/>
      </w:pPr>
      <w:r w:rsidRPr="004013E7">
        <w:t xml:space="preserve">In these instances, </w:t>
      </w:r>
      <w:r w:rsidR="0029310B" w:rsidRPr="004013E7">
        <w:t>the</w:t>
      </w:r>
      <w:r w:rsidRPr="004013E7">
        <w:t xml:space="preserve"> School will</w:t>
      </w:r>
      <w:r w:rsidR="0029310B" w:rsidRPr="004013E7">
        <w:t>:</w:t>
      </w:r>
    </w:p>
    <w:p w14:paraId="60014341" w14:textId="1661EFAE" w:rsidR="0029310B" w:rsidRPr="004013E7" w:rsidRDefault="0029310B" w:rsidP="0029310B">
      <w:pPr>
        <w:pStyle w:val="ListParagraph"/>
        <w:numPr>
          <w:ilvl w:val="0"/>
          <w:numId w:val="7"/>
        </w:numPr>
        <w:ind w:right="0"/>
      </w:pPr>
      <w:r w:rsidRPr="004013E7">
        <w:t>G</w:t>
      </w:r>
      <w:r w:rsidR="002B289E" w:rsidRPr="004013E7">
        <w:t xml:space="preserve">ive you early notification of any changes to your </w:t>
      </w:r>
      <w:r w:rsidRPr="004013E7">
        <w:t>offer/programme;</w:t>
      </w:r>
    </w:p>
    <w:p w14:paraId="6EE95E7C" w14:textId="6CB65290" w:rsidR="00DF2FF5" w:rsidRPr="004013E7" w:rsidRDefault="0029310B" w:rsidP="0029310B">
      <w:pPr>
        <w:pStyle w:val="ListParagraph"/>
        <w:numPr>
          <w:ilvl w:val="0"/>
          <w:numId w:val="7"/>
        </w:numPr>
        <w:ind w:right="0"/>
      </w:pPr>
      <w:r w:rsidRPr="004013E7">
        <w:t>Take reasonable steps</w:t>
      </w:r>
      <w:r w:rsidR="002B289E" w:rsidRPr="004013E7">
        <w:t xml:space="preserve"> to minimise the impact by identifying alternative ways of </w:t>
      </w:r>
      <w:r w:rsidRPr="004013E7">
        <w:t>delivering your learning</w:t>
      </w:r>
      <w:r w:rsidR="00DF2FF5" w:rsidRPr="004013E7">
        <w:t>; and</w:t>
      </w:r>
    </w:p>
    <w:p w14:paraId="62E4D74A" w14:textId="7875FF70" w:rsidR="007025C6" w:rsidRPr="004013E7" w:rsidRDefault="00DF2FF5" w:rsidP="007112E0">
      <w:pPr>
        <w:pStyle w:val="ListParagraph"/>
        <w:numPr>
          <w:ilvl w:val="0"/>
          <w:numId w:val="7"/>
        </w:numPr>
        <w:spacing w:before="120" w:after="120" w:line="252" w:lineRule="auto"/>
        <w:ind w:left="714" w:right="0" w:hanging="357"/>
      </w:pPr>
      <w:r w:rsidRPr="004013E7">
        <w:t xml:space="preserve">Where we cannot deliver as promised despite these steps, </w:t>
      </w:r>
      <w:r w:rsidR="002B289E" w:rsidRPr="004013E7">
        <w:t>provid</w:t>
      </w:r>
      <w:r w:rsidRPr="004013E7">
        <w:t>e</w:t>
      </w:r>
      <w:r w:rsidR="002B289E" w:rsidRPr="004013E7">
        <w:t xml:space="preserve"> </w:t>
      </w:r>
      <w:r w:rsidR="007112E0" w:rsidRPr="004013E7">
        <w:t xml:space="preserve">proportional and </w:t>
      </w:r>
      <w:r w:rsidRPr="004013E7">
        <w:t xml:space="preserve">fair </w:t>
      </w:r>
      <w:r w:rsidR="002B289E" w:rsidRPr="004013E7">
        <w:t>compensation</w:t>
      </w:r>
      <w:r w:rsidRPr="004013E7">
        <w:t xml:space="preserve"> in line with our </w:t>
      </w:r>
      <w:r w:rsidR="007112E0" w:rsidRPr="004013E7">
        <w:t xml:space="preserve">HE </w:t>
      </w:r>
      <w:r w:rsidRPr="004013E7">
        <w:t>Refunds and Compensation Policy</w:t>
      </w:r>
      <w:r w:rsidR="002B289E" w:rsidRPr="004013E7">
        <w:t xml:space="preserve">. </w:t>
      </w:r>
    </w:p>
    <w:p w14:paraId="346D565E" w14:textId="314671F5" w:rsidR="00DF2FF5" w:rsidRPr="004013E7" w:rsidRDefault="00DF2FF5" w:rsidP="007112E0">
      <w:pPr>
        <w:ind w:right="0"/>
      </w:pPr>
      <w:r w:rsidRPr="004013E7">
        <w:t>For clarity, industrial action by School staff is not treated as a force majeure event and does not limit our contractual obligations or your statutory rights.</w:t>
      </w:r>
    </w:p>
    <w:p w14:paraId="00242547" w14:textId="77777777" w:rsidR="007025C6" w:rsidRPr="004013E7" w:rsidRDefault="002B289E">
      <w:pPr>
        <w:spacing w:after="0" w:line="259" w:lineRule="auto"/>
        <w:ind w:left="0" w:right="0" w:firstLine="0"/>
        <w:jc w:val="left"/>
      </w:pPr>
      <w:r w:rsidRPr="004013E7">
        <w:rPr>
          <w:b/>
        </w:rPr>
        <w:t xml:space="preserve"> </w:t>
      </w:r>
    </w:p>
    <w:p w14:paraId="05B6BDC8" w14:textId="77777777" w:rsidR="007025C6" w:rsidRPr="004013E7" w:rsidRDefault="002B289E">
      <w:pPr>
        <w:pStyle w:val="Heading1"/>
        <w:ind w:left="-5" w:right="2656"/>
      </w:pPr>
      <w:r w:rsidRPr="004013E7">
        <w:t xml:space="preserve">REQUESTS FOR DEFERRAL OR WITHDRAWAL </w:t>
      </w:r>
    </w:p>
    <w:p w14:paraId="4E9B62D8" w14:textId="022C0CE8" w:rsidR="007025C6" w:rsidRPr="004013E7" w:rsidRDefault="002B289E">
      <w:pPr>
        <w:ind w:right="0"/>
      </w:pPr>
      <w:r w:rsidRPr="004013E7">
        <w:t>If an applicant wishes to request a deferral of entry to the following year, they</w:t>
      </w:r>
      <w:r w:rsidRPr="004013E7">
        <w:rPr>
          <w:b/>
        </w:rPr>
        <w:t xml:space="preserve"> </w:t>
      </w:r>
      <w:r w:rsidRPr="004013E7">
        <w:t>should indicate this on their application form or put a request in writing directly to HE Admissions as soon as possible after submitting an application. Requests for deferral after an offer has been made will be considered. Applicants should contact HE Admissions in writing or by email. Each deferral request will be considered on an individual basis. If you choose to defer</w:t>
      </w:r>
      <w:r w:rsidR="004013E7">
        <w:t>,</w:t>
      </w:r>
      <w:r w:rsidRPr="004013E7">
        <w:t xml:space="preserve"> you should be aware that future tuition fees may increase.  </w:t>
      </w:r>
    </w:p>
    <w:p w14:paraId="3A2BE1BB" w14:textId="77777777" w:rsidR="007025C6" w:rsidRPr="004013E7" w:rsidRDefault="002B289E">
      <w:pPr>
        <w:spacing w:after="0" w:line="259" w:lineRule="auto"/>
        <w:ind w:left="0" w:right="0" w:firstLine="0"/>
        <w:jc w:val="left"/>
      </w:pPr>
      <w:r w:rsidRPr="004013E7">
        <w:t xml:space="preserve"> </w:t>
      </w:r>
    </w:p>
    <w:p w14:paraId="407F8DCA" w14:textId="6EF7D2A1" w:rsidR="007025C6" w:rsidRPr="004013E7" w:rsidRDefault="002B289E">
      <w:pPr>
        <w:ind w:right="0"/>
      </w:pPr>
      <w:r w:rsidRPr="004013E7">
        <w:t xml:space="preserve">Applicants who wish to withdraw after an offer has been made must </w:t>
      </w:r>
      <w:proofErr w:type="gramStart"/>
      <w:r w:rsidRPr="004013E7">
        <w:t>contact</w:t>
      </w:r>
      <w:proofErr w:type="gramEnd"/>
      <w:r w:rsidRPr="004013E7">
        <w:t xml:space="preserve"> HE Admissions </w:t>
      </w:r>
      <w:r w:rsidRPr="004013E7">
        <w:rPr>
          <w:color w:val="0563C1"/>
          <w:u w:val="single" w:color="0563C1"/>
        </w:rPr>
        <w:t>studentrecruitment@northernart.ac.uk</w:t>
      </w:r>
      <w:r w:rsidR="004013E7">
        <w:rPr>
          <w:color w:val="0563C1"/>
          <w:u w:val="single" w:color="0563C1"/>
        </w:rPr>
        <w:t>,</w:t>
      </w:r>
      <w:r w:rsidRPr="004013E7">
        <w:t xml:space="preserve"> providing the following information:  </w:t>
      </w:r>
    </w:p>
    <w:p w14:paraId="786F4377" w14:textId="77777777" w:rsidR="007025C6" w:rsidRPr="004013E7" w:rsidRDefault="002B289E">
      <w:pPr>
        <w:spacing w:after="0" w:line="259" w:lineRule="auto"/>
        <w:ind w:left="0" w:right="0" w:firstLine="0"/>
        <w:jc w:val="left"/>
      </w:pPr>
      <w:r w:rsidRPr="004013E7">
        <w:t xml:space="preserve"> </w:t>
      </w:r>
    </w:p>
    <w:p w14:paraId="3F5DECD6" w14:textId="77777777" w:rsidR="004013E7" w:rsidRDefault="004013E7">
      <w:pPr>
        <w:spacing w:after="160" w:line="278" w:lineRule="auto"/>
        <w:ind w:left="0" w:right="0" w:firstLine="0"/>
        <w:jc w:val="left"/>
      </w:pPr>
      <w:r>
        <w:br w:type="page"/>
      </w:r>
    </w:p>
    <w:p w14:paraId="5F7C1833" w14:textId="34586D17" w:rsidR="007025C6" w:rsidRPr="004013E7" w:rsidRDefault="002B289E">
      <w:pPr>
        <w:spacing w:after="143"/>
        <w:ind w:right="0"/>
      </w:pPr>
      <w:r w:rsidRPr="004013E7">
        <w:lastRenderedPageBreak/>
        <w:t xml:space="preserve">I give notice that I wish to defer/withdraw my offer of a place to study:  </w:t>
      </w:r>
    </w:p>
    <w:p w14:paraId="36B952FD" w14:textId="77777777" w:rsidR="007025C6" w:rsidRPr="004013E7" w:rsidRDefault="002B289E">
      <w:pPr>
        <w:numPr>
          <w:ilvl w:val="0"/>
          <w:numId w:val="6"/>
        </w:numPr>
        <w:ind w:right="0" w:hanging="355"/>
      </w:pPr>
      <w:r w:rsidRPr="004013E7">
        <w:t xml:space="preserve">Programme Title  </w:t>
      </w:r>
    </w:p>
    <w:p w14:paraId="7EB1946A" w14:textId="77777777" w:rsidR="007025C6" w:rsidRPr="004013E7" w:rsidRDefault="002B289E">
      <w:pPr>
        <w:numPr>
          <w:ilvl w:val="0"/>
          <w:numId w:val="6"/>
        </w:numPr>
        <w:ind w:right="0" w:hanging="355"/>
      </w:pPr>
      <w:r w:rsidRPr="004013E7">
        <w:t xml:space="preserve">Name of Applicant  </w:t>
      </w:r>
    </w:p>
    <w:p w14:paraId="7D97A4E9" w14:textId="77777777" w:rsidR="007025C6" w:rsidRPr="004013E7" w:rsidRDefault="002B289E">
      <w:pPr>
        <w:numPr>
          <w:ilvl w:val="0"/>
          <w:numId w:val="6"/>
        </w:numPr>
        <w:spacing w:after="87"/>
        <w:ind w:right="0" w:hanging="355"/>
      </w:pPr>
      <w:r w:rsidRPr="004013E7">
        <w:t xml:space="preserve">Address of Applicant  </w:t>
      </w:r>
    </w:p>
    <w:p w14:paraId="3D9E68F8" w14:textId="77777777" w:rsidR="007025C6" w:rsidRPr="004013E7" w:rsidRDefault="002B289E">
      <w:pPr>
        <w:spacing w:after="129"/>
        <w:ind w:right="0"/>
      </w:pPr>
      <w:r w:rsidRPr="004013E7">
        <w:t xml:space="preserve">The Northern School of Art contact details:  </w:t>
      </w:r>
    </w:p>
    <w:p w14:paraId="012DC259" w14:textId="77777777" w:rsidR="007025C6" w:rsidRPr="004013E7" w:rsidRDefault="002B289E">
      <w:pPr>
        <w:ind w:right="0"/>
      </w:pPr>
      <w:r w:rsidRPr="004013E7">
        <w:t xml:space="preserve">HE Admissions </w:t>
      </w:r>
    </w:p>
    <w:p w14:paraId="5385720D" w14:textId="77777777" w:rsidR="007025C6" w:rsidRPr="004013E7" w:rsidRDefault="002B289E">
      <w:pPr>
        <w:ind w:right="0"/>
      </w:pPr>
      <w:r w:rsidRPr="004013E7">
        <w:t xml:space="preserve">The Northern School of Art </w:t>
      </w:r>
    </w:p>
    <w:p w14:paraId="41752C86" w14:textId="77777777" w:rsidR="007025C6" w:rsidRPr="004013E7" w:rsidRDefault="002B289E">
      <w:pPr>
        <w:ind w:right="0"/>
      </w:pPr>
      <w:r w:rsidRPr="004013E7">
        <w:t xml:space="preserve">Church Street, Hartlepool </w:t>
      </w:r>
    </w:p>
    <w:p w14:paraId="4739E0C7" w14:textId="77777777" w:rsidR="007025C6" w:rsidRPr="004013E7" w:rsidRDefault="002B289E">
      <w:pPr>
        <w:ind w:right="0"/>
      </w:pPr>
      <w:r w:rsidRPr="004013E7">
        <w:t xml:space="preserve">TS24 7DR </w:t>
      </w:r>
    </w:p>
    <w:p w14:paraId="127112CE" w14:textId="77777777" w:rsidR="007025C6" w:rsidRPr="004013E7" w:rsidRDefault="002B289E">
      <w:pPr>
        <w:spacing w:after="0" w:line="259" w:lineRule="auto"/>
        <w:ind w:left="0" w:right="0" w:firstLine="0"/>
        <w:jc w:val="left"/>
      </w:pPr>
      <w:r w:rsidRPr="004013E7">
        <w:t xml:space="preserve"> </w:t>
      </w:r>
    </w:p>
    <w:p w14:paraId="16EB1A84" w14:textId="77777777" w:rsidR="007025C6" w:rsidRPr="004013E7" w:rsidRDefault="002B289E">
      <w:pPr>
        <w:ind w:right="0"/>
      </w:pPr>
      <w:r w:rsidRPr="004013E7">
        <w:t xml:space="preserve">Tel: 01429 422000  </w:t>
      </w:r>
    </w:p>
    <w:p w14:paraId="5464FDD6" w14:textId="77777777" w:rsidR="007025C6" w:rsidRPr="004013E7" w:rsidRDefault="002B289E">
      <w:pPr>
        <w:spacing w:after="0" w:line="259" w:lineRule="auto"/>
        <w:ind w:left="0" w:right="0" w:firstLine="0"/>
        <w:jc w:val="left"/>
      </w:pPr>
      <w:r w:rsidRPr="004013E7">
        <w:t xml:space="preserve"> </w:t>
      </w:r>
    </w:p>
    <w:p w14:paraId="416AEA50" w14:textId="77777777" w:rsidR="007025C6" w:rsidRDefault="002B289E">
      <w:pPr>
        <w:spacing w:after="0" w:line="259" w:lineRule="auto"/>
        <w:ind w:left="0" w:right="0" w:firstLine="0"/>
        <w:jc w:val="left"/>
      </w:pPr>
      <w:r w:rsidRPr="004013E7">
        <w:t xml:space="preserve">Email: </w:t>
      </w:r>
      <w:r w:rsidRPr="004013E7">
        <w:rPr>
          <w:color w:val="0563C1"/>
          <w:u w:val="single" w:color="0563C1"/>
        </w:rPr>
        <w:t>admissions@northernart.ac.uk</w:t>
      </w:r>
      <w:r>
        <w:t xml:space="preserve"> </w:t>
      </w:r>
    </w:p>
    <w:p w14:paraId="3DABC44C" w14:textId="77777777" w:rsidR="007025C6" w:rsidRDefault="002B289E">
      <w:pPr>
        <w:spacing w:after="0" w:line="259" w:lineRule="auto"/>
        <w:ind w:left="0" w:right="0" w:firstLine="0"/>
        <w:jc w:val="left"/>
      </w:pPr>
      <w:r>
        <w:rPr>
          <w:b/>
        </w:rPr>
        <w:t xml:space="preserve"> </w:t>
      </w:r>
    </w:p>
    <w:p w14:paraId="01966B29" w14:textId="77777777" w:rsidR="007025C6" w:rsidRDefault="002B289E">
      <w:pPr>
        <w:spacing w:after="0" w:line="259" w:lineRule="auto"/>
        <w:ind w:left="0" w:right="0" w:firstLine="0"/>
        <w:jc w:val="left"/>
      </w:pPr>
      <w:r>
        <w:rPr>
          <w:b/>
        </w:rPr>
        <w:t xml:space="preserve"> </w:t>
      </w:r>
    </w:p>
    <w:p w14:paraId="0299A551" w14:textId="77777777" w:rsidR="007025C6" w:rsidRDefault="002B289E">
      <w:pPr>
        <w:spacing w:after="0" w:line="259" w:lineRule="auto"/>
        <w:ind w:left="0" w:right="0" w:firstLine="0"/>
        <w:jc w:val="left"/>
      </w:pPr>
      <w:r>
        <w:rPr>
          <w:rFonts w:ascii="Calibri" w:eastAsia="Calibri" w:hAnsi="Calibri" w:cs="Calibri"/>
        </w:rPr>
        <w:t xml:space="preserve"> </w:t>
      </w:r>
    </w:p>
    <w:sectPr w:rsidR="007025C6">
      <w:pgSz w:w="11906" w:h="16838"/>
      <w:pgMar w:top="1423" w:right="1435" w:bottom="14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C7345"/>
    <w:multiLevelType w:val="hybridMultilevel"/>
    <w:tmpl w:val="E4261F60"/>
    <w:lvl w:ilvl="0" w:tplc="081A29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8E5FBC">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A06EAC">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C639C2">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489320">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0C3F6">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9014BA">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E0C94">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2408A">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9B62DB"/>
    <w:multiLevelType w:val="hybridMultilevel"/>
    <w:tmpl w:val="4C744BFC"/>
    <w:lvl w:ilvl="0" w:tplc="686A0FA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C051A6">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8294EA">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1EC89C">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B4AD2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727772">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6EF16A">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A8C92A">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1A9982">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433447"/>
    <w:multiLevelType w:val="hybridMultilevel"/>
    <w:tmpl w:val="A6C44EA8"/>
    <w:lvl w:ilvl="0" w:tplc="1780E324">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7831B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E6700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30B63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AACD2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04346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EC5FD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522EA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DA9AC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4160CB"/>
    <w:multiLevelType w:val="hybridMultilevel"/>
    <w:tmpl w:val="3FA86498"/>
    <w:lvl w:ilvl="0" w:tplc="794859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68DDB2">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7E31D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6628C0">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C861B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DA9A4E">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54D5AC">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18DD3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D418E0">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C31999"/>
    <w:multiLevelType w:val="hybridMultilevel"/>
    <w:tmpl w:val="6A3283F8"/>
    <w:lvl w:ilvl="0" w:tplc="3568606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B42A18">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A60E6A">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6C7668">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BC7EB8">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0681A4">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464F6E">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DC60A0">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5434F4">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6351D5"/>
    <w:multiLevelType w:val="hybridMultilevel"/>
    <w:tmpl w:val="4C1E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34B18"/>
    <w:multiLevelType w:val="hybridMultilevel"/>
    <w:tmpl w:val="4038346A"/>
    <w:lvl w:ilvl="0" w:tplc="2000F338">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AB65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B85FE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C81F1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C2F45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4DCD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125D4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5E1E70">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34689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70222618">
    <w:abstractNumId w:val="2"/>
  </w:num>
  <w:num w:numId="2" w16cid:durableId="903642124">
    <w:abstractNumId w:val="0"/>
  </w:num>
  <w:num w:numId="3" w16cid:durableId="926427234">
    <w:abstractNumId w:val="4"/>
  </w:num>
  <w:num w:numId="4" w16cid:durableId="390539680">
    <w:abstractNumId w:val="1"/>
  </w:num>
  <w:num w:numId="5" w16cid:durableId="506557206">
    <w:abstractNumId w:val="3"/>
  </w:num>
  <w:num w:numId="6" w16cid:durableId="1860853518">
    <w:abstractNumId w:val="6"/>
  </w:num>
  <w:num w:numId="7" w16cid:durableId="1482621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C6"/>
    <w:rsid w:val="00012B68"/>
    <w:rsid w:val="0029310B"/>
    <w:rsid w:val="002B289E"/>
    <w:rsid w:val="004013E7"/>
    <w:rsid w:val="00614344"/>
    <w:rsid w:val="007025C6"/>
    <w:rsid w:val="007112E0"/>
    <w:rsid w:val="0092676B"/>
    <w:rsid w:val="00DF2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ACC5"/>
  <w15:docId w15:val="{680A6E03-79B6-4E08-8562-EA63B154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righ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 w:line="248" w:lineRule="auto"/>
      <w:ind w:left="10" w:right="6"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Revision">
    <w:name w:val="Revision"/>
    <w:hidden/>
    <w:uiPriority w:val="99"/>
    <w:semiHidden/>
    <w:rsid w:val="0029310B"/>
    <w:pPr>
      <w:spacing w:after="0" w:line="240" w:lineRule="auto"/>
    </w:pPr>
    <w:rPr>
      <w:rFonts w:ascii="Arial" w:eastAsia="Arial" w:hAnsi="Arial" w:cs="Arial"/>
      <w:color w:val="000000"/>
    </w:rPr>
  </w:style>
  <w:style w:type="paragraph" w:styleId="ListParagraph">
    <w:name w:val="List Paragraph"/>
    <w:basedOn w:val="Normal"/>
    <w:uiPriority w:val="34"/>
    <w:qFormat/>
    <w:rsid w:val="00293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ldr.northernart.ac.uk/flinks/webdocs/browse/Policies%20and%20Procedures/Handbooks" TargetMode="External"/><Relationship Id="rId13" Type="http://schemas.openxmlformats.org/officeDocument/2006/relationships/hyperlink" Target="https://northernart.ac.uk/about-northern-school-of-art/student-charter/" TargetMode="External"/><Relationship Id="rId18" Type="http://schemas.openxmlformats.org/officeDocument/2006/relationships/hyperlink" Target="https://foldr.northernart.ac.uk/flinks/webdocs/browse/Policies%20and%20Procedures/Handbooks?details=HE%20-%20Policies%20and%20Procedures%20Handbook%20Sept%202024%202.0.pdf" TargetMode="External"/><Relationship Id="rId3" Type="http://schemas.openxmlformats.org/officeDocument/2006/relationships/settings" Target="settings.xml"/><Relationship Id="rId7" Type="http://schemas.openxmlformats.org/officeDocument/2006/relationships/hyperlink" Target="https://foldr.northernart.ac.uk/flinks/webdocs/browse/Policies%20and%20Procedures/Handbooks" TargetMode="External"/><Relationship Id="rId12" Type="http://schemas.openxmlformats.org/officeDocument/2006/relationships/hyperlink" Target="https://northernart.ac.uk/about-northern-school-of-art/student-charter/" TargetMode="External"/><Relationship Id="rId17" Type="http://schemas.openxmlformats.org/officeDocument/2006/relationships/hyperlink" Target="https://foldr.northernart.ac.uk/flinks/webdocs/browse/Policies%20and%20Procedures/Handbooks?details=HE%20-%20Policies%20and%20Procedures%20Handbook%20Sept%202024%202.0.pdf" TargetMode="External"/><Relationship Id="rId2" Type="http://schemas.openxmlformats.org/officeDocument/2006/relationships/styles" Target="styles.xml"/><Relationship Id="rId16" Type="http://schemas.openxmlformats.org/officeDocument/2006/relationships/hyperlink" Target="https://foldr.northernart.ac.uk/flinks/webdocs/browse/Policies%20and%20Procedures/Handbooks?details=HE%20-%20Policies%20and%20Procedures%20Handbook%20Sept%202024%202.0.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orthernart.ac.uk/" TargetMode="External"/><Relationship Id="rId11" Type="http://schemas.openxmlformats.org/officeDocument/2006/relationships/hyperlink" Target="https://foldr.northernart.ac.uk/flinks/webdocs/browse/Policies%20and%20Procedures/Handbooks" TargetMode="External"/><Relationship Id="rId5" Type="http://schemas.openxmlformats.org/officeDocument/2006/relationships/hyperlink" Target="https://northernart.ac.uk/" TargetMode="External"/><Relationship Id="rId15" Type="http://schemas.openxmlformats.org/officeDocument/2006/relationships/hyperlink" Target="https://foldr.northernart.ac.uk/flinks/webdocs/browse/Policies%20and%20Procedures/Handbooks?details=HE%20-%20Policies%20and%20Procedures%20Handbook%20Sept%202024%202.0.pdf" TargetMode="External"/><Relationship Id="rId10" Type="http://schemas.openxmlformats.org/officeDocument/2006/relationships/hyperlink" Target="https://foldr.northernart.ac.uk/flinks/webdocs/browse/Policies%20and%20Procedures/Handbook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ldr.northernart.ac.uk/flinks/webdocs/browse/Policies%20and%20Procedures/Handbooks" TargetMode="External"/><Relationship Id="rId14" Type="http://schemas.openxmlformats.org/officeDocument/2006/relationships/hyperlink" Target="https://northernart.ac.uk/about-northern-school-of-art/student-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Norman</dc:creator>
  <cp:keywords/>
  <cp:lastModifiedBy>Paul Braine</cp:lastModifiedBy>
  <cp:revision>2</cp:revision>
  <cp:lastPrinted>2025-12-15T16:30:00Z</cp:lastPrinted>
  <dcterms:created xsi:type="dcterms:W3CDTF">2025-12-16T09:39:00Z</dcterms:created>
  <dcterms:modified xsi:type="dcterms:W3CDTF">2025-12-16T09:39:00Z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93658458-164c-40dc-9448-85dd446d27e5</vt:lpwstr>
  </property>
</Properties>
</file>