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85E7" w14:textId="030FC829" w:rsidR="003B5069" w:rsidRPr="00901D5E" w:rsidRDefault="003B5069" w:rsidP="00322245">
      <w:pPr>
        <w:pStyle w:val="Heading3"/>
        <w:spacing w:line="276" w:lineRule="auto"/>
        <w:jc w:val="left"/>
        <w:rPr>
          <w:rFonts w:ascii="Arial" w:hAnsi="Arial" w:cs="Arial"/>
          <w:sz w:val="24"/>
          <w:szCs w:val="24"/>
        </w:rPr>
      </w:pPr>
    </w:p>
    <w:p w14:paraId="3FFFEEC9" w14:textId="77A40C32" w:rsidR="0003787E" w:rsidRPr="00901D5E" w:rsidRDefault="0003787E" w:rsidP="00322245">
      <w:pPr>
        <w:pStyle w:val="Heading3"/>
        <w:spacing w:line="276" w:lineRule="auto"/>
        <w:rPr>
          <w:rFonts w:ascii="Arial" w:hAnsi="Arial" w:cs="Arial"/>
          <w:sz w:val="24"/>
          <w:szCs w:val="24"/>
        </w:rPr>
      </w:pPr>
      <w:r w:rsidRPr="00901D5E">
        <w:rPr>
          <w:rFonts w:ascii="Arial" w:hAnsi="Arial" w:cs="Arial"/>
          <w:sz w:val="24"/>
          <w:szCs w:val="24"/>
        </w:rPr>
        <w:t>Job Description</w:t>
      </w:r>
    </w:p>
    <w:p w14:paraId="1F1C6147" w14:textId="228D7A2E" w:rsidR="00575C60" w:rsidRPr="00901D5E" w:rsidRDefault="00575C60" w:rsidP="00322245">
      <w:pPr>
        <w:spacing w:line="276" w:lineRule="auto"/>
        <w:jc w:val="both"/>
        <w:rPr>
          <w:rFonts w:cs="Arial"/>
          <w:szCs w:val="24"/>
        </w:rPr>
      </w:pPr>
      <w:r w:rsidRPr="00901D5E">
        <w:rPr>
          <w:rFonts w:cs="Arial"/>
          <w:szCs w:val="24"/>
        </w:rPr>
        <w:tab/>
      </w:r>
      <w:r w:rsidR="00B85A61" w:rsidRPr="00901D5E">
        <w:rPr>
          <w:rFonts w:cs="Arial"/>
          <w:szCs w:val="24"/>
        </w:rPr>
        <w:tab/>
      </w:r>
      <w:r w:rsidRPr="00901D5E">
        <w:rPr>
          <w:rFonts w:cs="Arial"/>
          <w:szCs w:val="24"/>
        </w:rPr>
        <w:tab/>
      </w:r>
    </w:p>
    <w:p w14:paraId="1ECCA308" w14:textId="4F982441" w:rsidR="0003787E" w:rsidRPr="00901D5E" w:rsidRDefault="0003787E" w:rsidP="00322245">
      <w:pPr>
        <w:pStyle w:val="NoSpacing"/>
        <w:spacing w:line="276" w:lineRule="auto"/>
        <w:rPr>
          <w:rFonts w:cs="Arial"/>
          <w:szCs w:val="24"/>
        </w:rPr>
      </w:pPr>
      <w:r w:rsidRPr="00901D5E">
        <w:rPr>
          <w:rFonts w:cs="Arial"/>
          <w:b/>
          <w:szCs w:val="24"/>
        </w:rPr>
        <w:t>POST:</w:t>
      </w:r>
      <w:r w:rsidRPr="00901D5E">
        <w:rPr>
          <w:rFonts w:cs="Arial"/>
          <w:szCs w:val="24"/>
        </w:rPr>
        <w:tab/>
      </w:r>
      <w:r w:rsidRPr="00901D5E">
        <w:rPr>
          <w:rFonts w:cs="Arial"/>
          <w:szCs w:val="24"/>
        </w:rPr>
        <w:tab/>
      </w:r>
      <w:r w:rsidR="001330AB" w:rsidRPr="00901D5E">
        <w:rPr>
          <w:rFonts w:cs="Arial"/>
          <w:szCs w:val="24"/>
        </w:rPr>
        <w:t>Group Solicitor and Secretary to the</w:t>
      </w:r>
      <w:r w:rsidR="007C4B49">
        <w:rPr>
          <w:rFonts w:cs="Arial"/>
          <w:szCs w:val="24"/>
        </w:rPr>
        <w:t xml:space="preserve"> </w:t>
      </w:r>
      <w:r w:rsidR="00A55DB3">
        <w:rPr>
          <w:rFonts w:cs="Arial"/>
          <w:szCs w:val="24"/>
        </w:rPr>
        <w:t xml:space="preserve">HE </w:t>
      </w:r>
      <w:r w:rsidR="001330AB" w:rsidRPr="00901D5E">
        <w:rPr>
          <w:rFonts w:cs="Arial"/>
          <w:szCs w:val="24"/>
        </w:rPr>
        <w:t>Governing Body</w:t>
      </w:r>
    </w:p>
    <w:p w14:paraId="3E9AC0E5" w14:textId="77777777" w:rsidR="0003787E" w:rsidRPr="00901D5E" w:rsidRDefault="0003787E" w:rsidP="00322245">
      <w:pPr>
        <w:pStyle w:val="NoSpacing"/>
        <w:spacing w:line="276" w:lineRule="auto"/>
        <w:rPr>
          <w:rFonts w:cs="Arial"/>
          <w:szCs w:val="24"/>
        </w:rPr>
      </w:pPr>
    </w:p>
    <w:p w14:paraId="51E6D9B9" w14:textId="7E14D232" w:rsidR="0003787E" w:rsidRPr="00901D5E" w:rsidRDefault="0003787E" w:rsidP="004D5431">
      <w:pPr>
        <w:pStyle w:val="NoSpacing"/>
        <w:spacing w:line="276" w:lineRule="auto"/>
        <w:ind w:left="2160" w:hanging="2160"/>
        <w:rPr>
          <w:rFonts w:cs="Arial"/>
          <w:szCs w:val="24"/>
        </w:rPr>
      </w:pPr>
      <w:r w:rsidRPr="00901D5E">
        <w:rPr>
          <w:rFonts w:cs="Arial"/>
          <w:b/>
          <w:szCs w:val="24"/>
        </w:rPr>
        <w:t>LOCATION:</w:t>
      </w:r>
      <w:r w:rsidRPr="00901D5E">
        <w:rPr>
          <w:rFonts w:cs="Arial"/>
          <w:b/>
          <w:szCs w:val="24"/>
        </w:rPr>
        <w:tab/>
      </w:r>
      <w:r w:rsidR="004D5431" w:rsidRPr="004D5431">
        <w:rPr>
          <w:rFonts w:cs="Arial"/>
          <w:szCs w:val="24"/>
        </w:rPr>
        <w:t>Hartlepool and Middlesbrough campuses, normally based in Hartlepool (with flexibility for hybrid working)</w:t>
      </w:r>
    </w:p>
    <w:p w14:paraId="203B6174" w14:textId="77777777" w:rsidR="0003787E" w:rsidRPr="00901D5E" w:rsidRDefault="0003787E" w:rsidP="00322245">
      <w:pPr>
        <w:pStyle w:val="NoSpacing"/>
        <w:spacing w:line="276" w:lineRule="auto"/>
        <w:rPr>
          <w:rFonts w:cs="Arial"/>
          <w:szCs w:val="24"/>
        </w:rPr>
      </w:pPr>
    </w:p>
    <w:p w14:paraId="2116716A" w14:textId="5AE31E0A" w:rsidR="0003787E" w:rsidRPr="00901D5E" w:rsidRDefault="0003787E" w:rsidP="00322245">
      <w:pPr>
        <w:pStyle w:val="NoSpacing"/>
        <w:spacing w:line="276" w:lineRule="auto"/>
        <w:rPr>
          <w:rFonts w:cs="Arial"/>
          <w:szCs w:val="24"/>
        </w:rPr>
      </w:pPr>
      <w:r w:rsidRPr="00901D5E">
        <w:rPr>
          <w:rFonts w:cs="Arial"/>
          <w:b/>
          <w:szCs w:val="24"/>
        </w:rPr>
        <w:t>LINE MANAGER:</w:t>
      </w:r>
      <w:r w:rsidRPr="00901D5E">
        <w:rPr>
          <w:rFonts w:cs="Arial"/>
          <w:szCs w:val="24"/>
        </w:rPr>
        <w:tab/>
      </w:r>
      <w:r w:rsidR="00070CC9">
        <w:rPr>
          <w:rFonts w:cs="Arial"/>
          <w:szCs w:val="24"/>
        </w:rPr>
        <w:t>Principal</w:t>
      </w:r>
      <w:r w:rsidR="00070CC9" w:rsidRPr="00901D5E">
        <w:rPr>
          <w:rFonts w:cs="Arial"/>
          <w:szCs w:val="24"/>
        </w:rPr>
        <w:t xml:space="preserve"> </w:t>
      </w:r>
      <w:r w:rsidR="00901D5E" w:rsidRPr="00901D5E">
        <w:rPr>
          <w:rFonts w:cs="Arial"/>
          <w:szCs w:val="24"/>
        </w:rPr>
        <w:t>and Chair of the</w:t>
      </w:r>
      <w:r w:rsidR="0067116F">
        <w:rPr>
          <w:rFonts w:cs="Arial"/>
          <w:szCs w:val="24"/>
        </w:rPr>
        <w:t xml:space="preserve"> HE</w:t>
      </w:r>
      <w:r w:rsidR="00901D5E" w:rsidRPr="00901D5E">
        <w:rPr>
          <w:rFonts w:cs="Arial"/>
          <w:szCs w:val="24"/>
        </w:rPr>
        <w:t xml:space="preserve"> Governing Body</w:t>
      </w:r>
    </w:p>
    <w:p w14:paraId="7887F927" w14:textId="2F878A52" w:rsidR="00FA1EE3" w:rsidRPr="00901D5E" w:rsidRDefault="00FA1EE3" w:rsidP="00322245">
      <w:pPr>
        <w:pStyle w:val="Heading2"/>
        <w:spacing w:line="276" w:lineRule="auto"/>
        <w:jc w:val="both"/>
        <w:rPr>
          <w:rFonts w:cs="Arial"/>
          <w:szCs w:val="24"/>
        </w:rPr>
      </w:pPr>
    </w:p>
    <w:p w14:paraId="7DD237D6" w14:textId="04B51AF6" w:rsidR="001C7583" w:rsidRPr="00901D5E" w:rsidRDefault="001C7583" w:rsidP="00322245">
      <w:pPr>
        <w:spacing w:line="276" w:lineRule="auto"/>
        <w:rPr>
          <w:rFonts w:cs="Arial"/>
          <w:szCs w:val="24"/>
        </w:rPr>
      </w:pPr>
    </w:p>
    <w:p w14:paraId="136E55C4" w14:textId="77777777" w:rsidR="0003787E" w:rsidRPr="00901D5E" w:rsidRDefault="0003787E" w:rsidP="00322245">
      <w:pPr>
        <w:pStyle w:val="NoSpacing"/>
        <w:spacing w:line="276" w:lineRule="auto"/>
        <w:rPr>
          <w:rFonts w:cs="Arial"/>
          <w:b/>
          <w:szCs w:val="24"/>
          <w:u w:val="single"/>
        </w:rPr>
      </w:pPr>
      <w:r w:rsidRPr="00901D5E">
        <w:rPr>
          <w:rFonts w:cs="Arial"/>
          <w:b/>
          <w:szCs w:val="24"/>
          <w:u w:val="single"/>
        </w:rPr>
        <w:t>JOB PURPOSE:</w:t>
      </w:r>
    </w:p>
    <w:p w14:paraId="0ADCF8C7" w14:textId="77777777" w:rsidR="0003787E" w:rsidRPr="00901D5E" w:rsidRDefault="0003787E" w:rsidP="00322245">
      <w:pPr>
        <w:pStyle w:val="NoSpacing"/>
        <w:spacing w:line="276" w:lineRule="auto"/>
        <w:rPr>
          <w:rFonts w:cs="Arial"/>
          <w:szCs w:val="24"/>
        </w:rPr>
      </w:pPr>
    </w:p>
    <w:p w14:paraId="68BD7393" w14:textId="77777777" w:rsidR="00322245" w:rsidRPr="00B6618E" w:rsidRDefault="00322245" w:rsidP="00322245">
      <w:pPr>
        <w:spacing w:line="276" w:lineRule="auto"/>
        <w:rPr>
          <w:rFonts w:cs="Arial"/>
          <w:szCs w:val="24"/>
        </w:rPr>
      </w:pPr>
      <w:r w:rsidRPr="00B6618E">
        <w:rPr>
          <w:rFonts w:cs="Arial"/>
          <w:szCs w:val="24"/>
        </w:rPr>
        <w:t>The Group Solicitor and Secretary will play a pivotal role in supporting The Northern School of Art’s initial period as a higher education corporation and its subsequent transition to university status. The postholder will act as the principal legal adviser to the institution and its subsidiaries, while also ensuring high standards of governance and regulatory compliance through the effective servicing of the Governing Body.</w:t>
      </w:r>
    </w:p>
    <w:p w14:paraId="39530840" w14:textId="77777777" w:rsidR="00901D5E" w:rsidRPr="00901D5E" w:rsidRDefault="00901D5E" w:rsidP="00322245">
      <w:pPr>
        <w:pStyle w:val="NoSpacing"/>
        <w:spacing w:line="276" w:lineRule="auto"/>
        <w:rPr>
          <w:rFonts w:cs="Arial"/>
          <w:szCs w:val="24"/>
        </w:rPr>
      </w:pPr>
    </w:p>
    <w:p w14:paraId="0B8D3BCA" w14:textId="77777777" w:rsidR="0003787E" w:rsidRPr="00901D5E" w:rsidRDefault="0003787E" w:rsidP="00322245">
      <w:pPr>
        <w:pStyle w:val="NoSpacing"/>
        <w:spacing w:line="276" w:lineRule="auto"/>
        <w:rPr>
          <w:rFonts w:cs="Arial"/>
          <w:b/>
          <w:caps/>
          <w:szCs w:val="24"/>
          <w:u w:val="single"/>
        </w:rPr>
      </w:pPr>
      <w:r w:rsidRPr="00901D5E">
        <w:rPr>
          <w:rFonts w:cs="Arial"/>
          <w:b/>
          <w:caps/>
          <w:szCs w:val="24"/>
          <w:u w:val="single"/>
        </w:rPr>
        <w:t>Main Duties &amp; Responsibilities:</w:t>
      </w:r>
    </w:p>
    <w:p w14:paraId="443B76D8" w14:textId="662B625E" w:rsidR="0003787E" w:rsidRPr="00901D5E" w:rsidRDefault="0003787E" w:rsidP="00322245">
      <w:pPr>
        <w:pStyle w:val="NoSpacing"/>
        <w:spacing w:line="276" w:lineRule="auto"/>
        <w:rPr>
          <w:rFonts w:cs="Arial"/>
          <w:szCs w:val="24"/>
        </w:rPr>
      </w:pPr>
    </w:p>
    <w:p w14:paraId="7E2612F1" w14:textId="6BDA7479" w:rsidR="00322245" w:rsidRDefault="00322245" w:rsidP="00322245">
      <w:pPr>
        <w:pStyle w:val="NoSpacing"/>
        <w:spacing w:line="276" w:lineRule="auto"/>
        <w:rPr>
          <w:rFonts w:cs="Arial"/>
          <w:szCs w:val="24"/>
        </w:rPr>
      </w:pPr>
      <w:r w:rsidRPr="00B6618E">
        <w:rPr>
          <w:rFonts w:cs="Arial"/>
          <w:b/>
          <w:bCs/>
          <w:szCs w:val="24"/>
        </w:rPr>
        <w:t>Group Solicitor</w:t>
      </w:r>
      <w:r w:rsidR="00692738">
        <w:rPr>
          <w:rFonts w:cs="Arial"/>
          <w:b/>
          <w:bCs/>
          <w:szCs w:val="24"/>
        </w:rPr>
        <w:t xml:space="preserve"> (0.5 FTE):</w:t>
      </w:r>
    </w:p>
    <w:p w14:paraId="5C85DCF6" w14:textId="167AAE39" w:rsidR="00322245" w:rsidRDefault="00322245" w:rsidP="00322245">
      <w:pPr>
        <w:pStyle w:val="NoSpacing"/>
        <w:spacing w:line="276" w:lineRule="auto"/>
        <w:rPr>
          <w:rFonts w:cs="Arial"/>
          <w:szCs w:val="24"/>
        </w:rPr>
      </w:pPr>
    </w:p>
    <w:p w14:paraId="0ACDDCCC" w14:textId="20F78CA5" w:rsidR="00322245" w:rsidRDefault="00322245" w:rsidP="00322245">
      <w:pPr>
        <w:pStyle w:val="NoSpacing"/>
        <w:numPr>
          <w:ilvl w:val="0"/>
          <w:numId w:val="37"/>
        </w:numPr>
        <w:spacing w:line="276" w:lineRule="auto"/>
        <w:rPr>
          <w:rFonts w:cs="Arial"/>
          <w:szCs w:val="24"/>
        </w:rPr>
      </w:pPr>
      <w:r w:rsidRPr="00322245">
        <w:rPr>
          <w:rFonts w:cs="Arial"/>
          <w:szCs w:val="24"/>
        </w:rPr>
        <w:t xml:space="preserve">Act as the institution’s </w:t>
      </w:r>
      <w:r w:rsidRPr="00322245">
        <w:rPr>
          <w:rFonts w:cs="Arial"/>
          <w:b/>
          <w:bCs/>
          <w:szCs w:val="24"/>
        </w:rPr>
        <w:t>in-house legal adviser (General Counsel</w:t>
      </w:r>
      <w:proofErr w:type="gramStart"/>
      <w:r w:rsidRPr="00322245">
        <w:rPr>
          <w:rFonts w:cs="Arial"/>
          <w:b/>
          <w:bCs/>
          <w:szCs w:val="24"/>
        </w:rPr>
        <w:t>)</w:t>
      </w:r>
      <w:r w:rsidRPr="00322245">
        <w:rPr>
          <w:rFonts w:cs="Arial"/>
          <w:szCs w:val="24"/>
        </w:rPr>
        <w:t xml:space="preserve"> </w:t>
      </w:r>
      <w:r w:rsidRPr="00322245">
        <w:rPr>
          <w:rFonts w:cs="Arial"/>
          <w:b/>
          <w:bCs/>
          <w:szCs w:val="24"/>
        </w:rPr>
        <w:t>,</w:t>
      </w:r>
      <w:proofErr w:type="gramEnd"/>
      <w:r w:rsidRPr="00322245">
        <w:rPr>
          <w:rFonts w:cs="Arial"/>
          <w:b/>
          <w:bCs/>
          <w:szCs w:val="24"/>
        </w:rPr>
        <w:t xml:space="preserve"> </w:t>
      </w:r>
      <w:r w:rsidRPr="00322245">
        <w:rPr>
          <w:rFonts w:cs="Arial"/>
          <w:szCs w:val="24"/>
        </w:rPr>
        <w:t>providing authoritative legal guidance across the School, The Northern College of Art (FE subsidiary), and The Northern Studios (Hartlepool) Ltd. The role ensures legal compliance and assists in managing institutional risk.</w:t>
      </w:r>
    </w:p>
    <w:p w14:paraId="53DB516F" w14:textId="77777777" w:rsidR="00322245" w:rsidRPr="00322245" w:rsidRDefault="00322245" w:rsidP="00322245">
      <w:pPr>
        <w:pStyle w:val="NoSpacing"/>
        <w:spacing w:line="276" w:lineRule="auto"/>
        <w:ind w:left="360"/>
        <w:rPr>
          <w:rFonts w:cs="Arial"/>
          <w:szCs w:val="24"/>
        </w:rPr>
      </w:pPr>
    </w:p>
    <w:p w14:paraId="169C43CC"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Provide legal advice to senior leadership on:</w:t>
      </w:r>
    </w:p>
    <w:p w14:paraId="03E199BE"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Higher education regulation and compliance</w:t>
      </w:r>
    </w:p>
    <w:p w14:paraId="00D3BD15"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Corporate and charity law</w:t>
      </w:r>
    </w:p>
    <w:p w14:paraId="560984CD"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Contract law and commercial arrangements</w:t>
      </w:r>
    </w:p>
    <w:p w14:paraId="463892D3"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Employment law</w:t>
      </w:r>
    </w:p>
    <w:p w14:paraId="0365929B"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Data protection</w:t>
      </w:r>
    </w:p>
    <w:p w14:paraId="6AB5F1A3" w14:textId="1FCFF1B5" w:rsidR="00322245" w:rsidRDefault="00322245" w:rsidP="00322245">
      <w:pPr>
        <w:pStyle w:val="NoSpacing"/>
        <w:numPr>
          <w:ilvl w:val="0"/>
          <w:numId w:val="36"/>
        </w:numPr>
        <w:spacing w:line="276" w:lineRule="auto"/>
        <w:rPr>
          <w:rFonts w:cs="Arial"/>
          <w:szCs w:val="24"/>
        </w:rPr>
      </w:pPr>
      <w:r w:rsidRPr="00322245">
        <w:rPr>
          <w:rFonts w:cs="Arial"/>
          <w:szCs w:val="24"/>
        </w:rPr>
        <w:t>Intellectual property law</w:t>
      </w:r>
    </w:p>
    <w:p w14:paraId="07787331" w14:textId="77777777" w:rsidR="00322245" w:rsidRPr="00322245" w:rsidRDefault="00322245" w:rsidP="00322245">
      <w:pPr>
        <w:pStyle w:val="NoSpacing"/>
        <w:spacing w:line="276" w:lineRule="auto"/>
        <w:ind w:left="720"/>
        <w:rPr>
          <w:rFonts w:cs="Arial"/>
          <w:szCs w:val="24"/>
        </w:rPr>
      </w:pPr>
    </w:p>
    <w:p w14:paraId="6103F64B"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Draft, review and maintain key institutional documents, including:</w:t>
      </w:r>
    </w:p>
    <w:p w14:paraId="700C93A7"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lastRenderedPageBreak/>
        <w:t>Student terms and conditions</w:t>
      </w:r>
    </w:p>
    <w:p w14:paraId="2D8969E7"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Partnership agreements</w:t>
      </w:r>
    </w:p>
    <w:p w14:paraId="0BB07CB1"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Commercial contracts (including for The Northern Studios (Hartlepool) Limited)</w:t>
      </w:r>
    </w:p>
    <w:p w14:paraId="0CAC4781"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property and lease arrangements</w:t>
      </w:r>
    </w:p>
    <w:p w14:paraId="483FD1FD" w14:textId="32E7C863" w:rsidR="00322245" w:rsidRDefault="00322245" w:rsidP="00322245">
      <w:pPr>
        <w:pStyle w:val="NoSpacing"/>
        <w:numPr>
          <w:ilvl w:val="0"/>
          <w:numId w:val="36"/>
        </w:numPr>
        <w:spacing w:line="276" w:lineRule="auto"/>
        <w:rPr>
          <w:rFonts w:cs="Arial"/>
          <w:szCs w:val="24"/>
        </w:rPr>
      </w:pPr>
      <w:r w:rsidRPr="00322245">
        <w:rPr>
          <w:rFonts w:cs="Arial"/>
          <w:szCs w:val="24"/>
        </w:rPr>
        <w:t>procurement documentation</w:t>
      </w:r>
    </w:p>
    <w:p w14:paraId="00FF508A" w14:textId="77777777" w:rsidR="00322245" w:rsidRPr="00322245" w:rsidRDefault="00322245" w:rsidP="00322245">
      <w:pPr>
        <w:pStyle w:val="NoSpacing"/>
        <w:spacing w:line="276" w:lineRule="auto"/>
        <w:ind w:left="720"/>
        <w:rPr>
          <w:rFonts w:cs="Arial"/>
          <w:szCs w:val="24"/>
        </w:rPr>
      </w:pPr>
    </w:p>
    <w:p w14:paraId="5367C49B" w14:textId="5DC1780D" w:rsidR="00322245" w:rsidRDefault="00322245" w:rsidP="00322245">
      <w:pPr>
        <w:pStyle w:val="NoSpacing"/>
        <w:numPr>
          <w:ilvl w:val="0"/>
          <w:numId w:val="37"/>
        </w:numPr>
        <w:spacing w:line="276" w:lineRule="auto"/>
        <w:rPr>
          <w:rFonts w:cs="Arial"/>
          <w:szCs w:val="24"/>
        </w:rPr>
      </w:pPr>
      <w:r w:rsidRPr="00322245">
        <w:rPr>
          <w:rFonts w:cs="Arial"/>
          <w:szCs w:val="24"/>
        </w:rPr>
        <w:t>Maintain standard templates and ensure they remain legally robust and up to date</w:t>
      </w:r>
    </w:p>
    <w:p w14:paraId="62277439" w14:textId="77777777" w:rsidR="00322245" w:rsidRPr="00322245" w:rsidRDefault="00322245" w:rsidP="00322245">
      <w:pPr>
        <w:pStyle w:val="NoSpacing"/>
        <w:spacing w:line="276" w:lineRule="auto"/>
        <w:ind w:left="360"/>
        <w:rPr>
          <w:rFonts w:cs="Arial"/>
          <w:szCs w:val="24"/>
        </w:rPr>
      </w:pPr>
    </w:p>
    <w:p w14:paraId="4EEE4526"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Advise on and support:</w:t>
      </w:r>
    </w:p>
    <w:p w14:paraId="25DFB0A7"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Relationship between the School and subsidiaries</w:t>
      </w:r>
    </w:p>
    <w:p w14:paraId="1188B516" w14:textId="1EA28A6C" w:rsidR="00322245" w:rsidRDefault="00322245" w:rsidP="00322245">
      <w:pPr>
        <w:pStyle w:val="NoSpacing"/>
        <w:numPr>
          <w:ilvl w:val="0"/>
          <w:numId w:val="36"/>
        </w:numPr>
        <w:spacing w:line="276" w:lineRule="auto"/>
        <w:rPr>
          <w:rFonts w:cs="Arial"/>
          <w:szCs w:val="24"/>
        </w:rPr>
      </w:pPr>
      <w:r w:rsidRPr="00322245">
        <w:rPr>
          <w:rFonts w:cs="Arial"/>
          <w:szCs w:val="24"/>
        </w:rPr>
        <w:t>Risk management and legal compliance frameworks</w:t>
      </w:r>
    </w:p>
    <w:p w14:paraId="5CA5114C" w14:textId="77777777" w:rsidR="00322245" w:rsidRPr="00322245" w:rsidRDefault="00322245" w:rsidP="00322245">
      <w:pPr>
        <w:pStyle w:val="NoSpacing"/>
        <w:spacing w:line="276" w:lineRule="auto"/>
        <w:ind w:left="360"/>
        <w:rPr>
          <w:rFonts w:cs="Arial"/>
          <w:szCs w:val="24"/>
        </w:rPr>
      </w:pPr>
    </w:p>
    <w:p w14:paraId="4497CC3B" w14:textId="43957610" w:rsidR="00322245" w:rsidRDefault="00322245" w:rsidP="00322245">
      <w:pPr>
        <w:pStyle w:val="NoSpacing"/>
        <w:numPr>
          <w:ilvl w:val="0"/>
          <w:numId w:val="37"/>
        </w:numPr>
        <w:spacing w:line="276" w:lineRule="auto"/>
        <w:rPr>
          <w:rFonts w:cs="Arial"/>
          <w:szCs w:val="24"/>
        </w:rPr>
      </w:pPr>
      <w:r w:rsidRPr="00322245">
        <w:rPr>
          <w:rFonts w:cs="Arial"/>
          <w:szCs w:val="24"/>
        </w:rPr>
        <w:t>Advise on legal aspects of institutional policies and procedures</w:t>
      </w:r>
    </w:p>
    <w:p w14:paraId="57DF1B67" w14:textId="77777777" w:rsidR="00322245" w:rsidRPr="00322245" w:rsidRDefault="00322245" w:rsidP="00322245">
      <w:pPr>
        <w:pStyle w:val="NoSpacing"/>
        <w:spacing w:line="276" w:lineRule="auto"/>
        <w:ind w:left="360"/>
        <w:rPr>
          <w:rFonts w:cs="Arial"/>
          <w:szCs w:val="24"/>
        </w:rPr>
      </w:pPr>
    </w:p>
    <w:p w14:paraId="0E82D8F7" w14:textId="252B2539" w:rsidR="00322245" w:rsidRDefault="00322245" w:rsidP="00322245">
      <w:pPr>
        <w:pStyle w:val="NoSpacing"/>
        <w:numPr>
          <w:ilvl w:val="0"/>
          <w:numId w:val="37"/>
        </w:numPr>
        <w:spacing w:line="276" w:lineRule="auto"/>
        <w:rPr>
          <w:rFonts w:cs="Arial"/>
          <w:szCs w:val="24"/>
        </w:rPr>
      </w:pPr>
      <w:r w:rsidRPr="00322245">
        <w:rPr>
          <w:rFonts w:cs="Arial"/>
          <w:szCs w:val="24"/>
        </w:rPr>
        <w:t>Ensure compliance with statutory duties, including health &amp; safety, safeguarding, equality, and data protection</w:t>
      </w:r>
    </w:p>
    <w:p w14:paraId="033FB747" w14:textId="77777777" w:rsidR="00322245" w:rsidRPr="00322245" w:rsidRDefault="00322245" w:rsidP="00322245">
      <w:pPr>
        <w:pStyle w:val="NoSpacing"/>
        <w:spacing w:line="276" w:lineRule="auto"/>
        <w:ind w:left="360"/>
        <w:rPr>
          <w:rFonts w:cs="Arial"/>
          <w:szCs w:val="24"/>
        </w:rPr>
      </w:pPr>
    </w:p>
    <w:p w14:paraId="4CCA33ED" w14:textId="2603608F" w:rsidR="00322245" w:rsidRDefault="00322245" w:rsidP="00322245">
      <w:pPr>
        <w:pStyle w:val="NoSpacing"/>
        <w:numPr>
          <w:ilvl w:val="0"/>
          <w:numId w:val="37"/>
        </w:numPr>
        <w:spacing w:line="276" w:lineRule="auto"/>
        <w:rPr>
          <w:rFonts w:cs="Arial"/>
          <w:szCs w:val="24"/>
        </w:rPr>
      </w:pPr>
      <w:r w:rsidRPr="00322245">
        <w:rPr>
          <w:rFonts w:cs="Arial"/>
          <w:szCs w:val="24"/>
        </w:rPr>
        <w:t>Support risk management processes and advise on mitigation strategies</w:t>
      </w:r>
    </w:p>
    <w:p w14:paraId="6A9C0638" w14:textId="77777777" w:rsidR="00322245" w:rsidRPr="00322245" w:rsidRDefault="00322245" w:rsidP="00322245">
      <w:pPr>
        <w:pStyle w:val="NoSpacing"/>
        <w:spacing w:line="276" w:lineRule="auto"/>
        <w:ind w:left="360"/>
        <w:rPr>
          <w:rFonts w:cs="Arial"/>
          <w:szCs w:val="24"/>
        </w:rPr>
      </w:pPr>
    </w:p>
    <w:p w14:paraId="0436EDC8" w14:textId="0BF077F9" w:rsidR="00322245" w:rsidRPr="00322245" w:rsidRDefault="00322245" w:rsidP="00322245">
      <w:pPr>
        <w:pStyle w:val="NoSpacing"/>
        <w:numPr>
          <w:ilvl w:val="0"/>
          <w:numId w:val="37"/>
        </w:numPr>
        <w:spacing w:line="276" w:lineRule="auto"/>
        <w:rPr>
          <w:rFonts w:cs="Arial"/>
          <w:szCs w:val="24"/>
        </w:rPr>
      </w:pPr>
      <w:r w:rsidRPr="00322245">
        <w:rPr>
          <w:rFonts w:cs="Arial"/>
          <w:szCs w:val="24"/>
        </w:rPr>
        <w:t>Commission specialist advice where necessary and oversee cost control. Manage external legal advisers where required</w:t>
      </w:r>
    </w:p>
    <w:p w14:paraId="7B7A86E9" w14:textId="2696A06B" w:rsidR="00322245" w:rsidRDefault="00322245" w:rsidP="00322245">
      <w:pPr>
        <w:pStyle w:val="NoSpacing"/>
        <w:spacing w:line="276" w:lineRule="auto"/>
        <w:rPr>
          <w:rFonts w:cs="Arial"/>
          <w:szCs w:val="24"/>
        </w:rPr>
      </w:pPr>
    </w:p>
    <w:p w14:paraId="7B94E170" w14:textId="19998B36" w:rsidR="00322245" w:rsidRDefault="00322245" w:rsidP="00322245">
      <w:pPr>
        <w:pStyle w:val="NoSpacing"/>
        <w:spacing w:line="276" w:lineRule="auto"/>
        <w:rPr>
          <w:rFonts w:cs="Arial"/>
          <w:szCs w:val="24"/>
        </w:rPr>
      </w:pPr>
    </w:p>
    <w:p w14:paraId="327E6478" w14:textId="0ACBC817" w:rsidR="00322245" w:rsidRPr="00322245" w:rsidRDefault="00322245" w:rsidP="00322245">
      <w:pPr>
        <w:pStyle w:val="NoSpacing"/>
        <w:spacing w:line="276" w:lineRule="auto"/>
        <w:rPr>
          <w:rFonts w:cs="Arial"/>
          <w:b/>
          <w:szCs w:val="24"/>
        </w:rPr>
      </w:pPr>
      <w:r w:rsidRPr="00322245">
        <w:rPr>
          <w:rFonts w:cs="Arial"/>
          <w:b/>
          <w:szCs w:val="24"/>
        </w:rPr>
        <w:t>Secretary to the</w:t>
      </w:r>
      <w:r w:rsidR="0067116F">
        <w:rPr>
          <w:rFonts w:cs="Arial"/>
          <w:b/>
          <w:szCs w:val="24"/>
        </w:rPr>
        <w:t xml:space="preserve"> HE</w:t>
      </w:r>
      <w:r w:rsidRPr="00322245">
        <w:rPr>
          <w:rFonts w:cs="Arial"/>
          <w:b/>
          <w:szCs w:val="24"/>
        </w:rPr>
        <w:t xml:space="preserve"> Governing Body</w:t>
      </w:r>
      <w:r w:rsidR="00692738">
        <w:rPr>
          <w:rFonts w:cs="Arial"/>
          <w:b/>
          <w:szCs w:val="24"/>
        </w:rPr>
        <w:t xml:space="preserve"> (0.5 FTE)</w:t>
      </w:r>
    </w:p>
    <w:p w14:paraId="4E83FE3F" w14:textId="38BD9479" w:rsidR="00322245" w:rsidRDefault="00322245" w:rsidP="00322245">
      <w:pPr>
        <w:pStyle w:val="NoSpacing"/>
        <w:spacing w:line="276" w:lineRule="auto"/>
        <w:rPr>
          <w:rFonts w:cs="Arial"/>
          <w:szCs w:val="24"/>
        </w:rPr>
      </w:pPr>
    </w:p>
    <w:p w14:paraId="293C82DB" w14:textId="2B870AF8" w:rsidR="00322245" w:rsidRDefault="00322245" w:rsidP="00322245">
      <w:pPr>
        <w:pStyle w:val="NoSpacing"/>
        <w:numPr>
          <w:ilvl w:val="0"/>
          <w:numId w:val="37"/>
        </w:numPr>
        <w:spacing w:line="276" w:lineRule="auto"/>
        <w:rPr>
          <w:rFonts w:cs="Arial"/>
          <w:szCs w:val="24"/>
        </w:rPr>
      </w:pPr>
      <w:r w:rsidRPr="00322245">
        <w:rPr>
          <w:rFonts w:cs="Arial"/>
          <w:szCs w:val="24"/>
        </w:rPr>
        <w:t xml:space="preserve">Serve as </w:t>
      </w:r>
      <w:r w:rsidRPr="00322245">
        <w:rPr>
          <w:rFonts w:cs="Arial"/>
          <w:bCs/>
          <w:szCs w:val="24"/>
        </w:rPr>
        <w:t>independent Secretary to the Governing Body</w:t>
      </w:r>
      <w:r w:rsidRPr="00322245">
        <w:rPr>
          <w:rFonts w:cs="Arial"/>
          <w:b/>
          <w:bCs/>
          <w:szCs w:val="24"/>
        </w:rPr>
        <w:t xml:space="preserve">, </w:t>
      </w:r>
      <w:r w:rsidRPr="00322245">
        <w:rPr>
          <w:rFonts w:cs="Arial"/>
          <w:szCs w:val="24"/>
        </w:rPr>
        <w:t>ensuring that the Governing Body operates effectively, ethically, and in compliance with statutory and regulatory requirements.</w:t>
      </w:r>
    </w:p>
    <w:p w14:paraId="76BC8D6E" w14:textId="77777777" w:rsidR="00322245" w:rsidRPr="00322245" w:rsidRDefault="00322245" w:rsidP="00322245">
      <w:pPr>
        <w:pStyle w:val="NoSpacing"/>
        <w:spacing w:line="276" w:lineRule="auto"/>
        <w:ind w:left="360"/>
        <w:rPr>
          <w:rFonts w:cs="Arial"/>
          <w:szCs w:val="24"/>
        </w:rPr>
      </w:pPr>
    </w:p>
    <w:p w14:paraId="1174E002"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Advise the Chair and Board on:</w:t>
      </w:r>
    </w:p>
    <w:p w14:paraId="4BC2550A"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Governance best practice</w:t>
      </w:r>
    </w:p>
    <w:p w14:paraId="79452FD4" w14:textId="3A8A9DC9" w:rsidR="00322245" w:rsidRDefault="00322245" w:rsidP="00322245">
      <w:pPr>
        <w:pStyle w:val="NoSpacing"/>
        <w:numPr>
          <w:ilvl w:val="0"/>
          <w:numId w:val="36"/>
        </w:numPr>
        <w:spacing w:line="276" w:lineRule="auto"/>
        <w:rPr>
          <w:rFonts w:cs="Arial"/>
          <w:szCs w:val="24"/>
        </w:rPr>
      </w:pPr>
      <w:r w:rsidRPr="00322245">
        <w:rPr>
          <w:rFonts w:cs="Arial"/>
          <w:szCs w:val="24"/>
        </w:rPr>
        <w:t>Regulatory requirements (including those relating to higher education corporations)</w:t>
      </w:r>
    </w:p>
    <w:p w14:paraId="72D4065A" w14:textId="77777777" w:rsidR="00322245" w:rsidRPr="00322245" w:rsidRDefault="00322245" w:rsidP="00322245">
      <w:pPr>
        <w:pStyle w:val="NoSpacing"/>
        <w:spacing w:line="276" w:lineRule="auto"/>
        <w:ind w:left="1440"/>
        <w:rPr>
          <w:rFonts w:cs="Arial"/>
          <w:szCs w:val="24"/>
        </w:rPr>
      </w:pPr>
    </w:p>
    <w:p w14:paraId="6E48D7FE"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Ensure the Governing Body operates effectively:</w:t>
      </w:r>
    </w:p>
    <w:p w14:paraId="7B930E66"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Plan and manage the annual cycle of board and committee business</w:t>
      </w:r>
    </w:p>
    <w:p w14:paraId="539C6B3F" w14:textId="3ED95077" w:rsidR="00322245" w:rsidRPr="00322245" w:rsidRDefault="00322245" w:rsidP="00322245">
      <w:pPr>
        <w:pStyle w:val="NoSpacing"/>
        <w:numPr>
          <w:ilvl w:val="0"/>
          <w:numId w:val="36"/>
        </w:numPr>
        <w:spacing w:line="276" w:lineRule="auto"/>
        <w:rPr>
          <w:rFonts w:cs="Arial"/>
          <w:szCs w:val="24"/>
        </w:rPr>
      </w:pPr>
      <w:r w:rsidRPr="00322245">
        <w:rPr>
          <w:rFonts w:cs="Arial"/>
          <w:szCs w:val="24"/>
        </w:rPr>
        <w:t xml:space="preserve">Prepare agendas in consultation with the Chair and </w:t>
      </w:r>
      <w:r w:rsidR="00070CC9">
        <w:rPr>
          <w:rFonts w:cs="Arial"/>
          <w:szCs w:val="24"/>
        </w:rPr>
        <w:t>Principal</w:t>
      </w:r>
    </w:p>
    <w:p w14:paraId="32CB2408"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Ensure accurate, timely production of minutes, reports, and papers</w:t>
      </w:r>
    </w:p>
    <w:p w14:paraId="36322012"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Monitor follow up actions and ensure effective decision tracking</w:t>
      </w:r>
    </w:p>
    <w:p w14:paraId="3C053239"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Maintain governance policies, including the Scheme of Delegation and Standing Orders</w:t>
      </w:r>
    </w:p>
    <w:p w14:paraId="2E648CD3" w14:textId="046045BB" w:rsidR="00322245" w:rsidRDefault="00322245" w:rsidP="00322245">
      <w:pPr>
        <w:pStyle w:val="NoSpacing"/>
        <w:numPr>
          <w:ilvl w:val="0"/>
          <w:numId w:val="36"/>
        </w:numPr>
        <w:spacing w:line="276" w:lineRule="auto"/>
        <w:rPr>
          <w:rFonts w:cs="Arial"/>
          <w:szCs w:val="24"/>
        </w:rPr>
      </w:pPr>
      <w:r w:rsidRPr="00322245">
        <w:rPr>
          <w:rFonts w:cs="Arial"/>
          <w:szCs w:val="24"/>
        </w:rPr>
        <w:t>Support committee structures</w:t>
      </w:r>
    </w:p>
    <w:p w14:paraId="7C5FCBD4" w14:textId="77777777" w:rsidR="00322245" w:rsidRPr="00322245" w:rsidRDefault="00322245" w:rsidP="00322245">
      <w:pPr>
        <w:pStyle w:val="NoSpacing"/>
        <w:spacing w:line="276" w:lineRule="auto"/>
        <w:ind w:left="720"/>
        <w:rPr>
          <w:rFonts w:cs="Arial"/>
          <w:szCs w:val="24"/>
        </w:rPr>
      </w:pPr>
    </w:p>
    <w:p w14:paraId="627B4581"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Governor Support and Development:</w:t>
      </w:r>
    </w:p>
    <w:p w14:paraId="2E265150"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Support the recruitment, induction, and development of governors</w:t>
      </w:r>
    </w:p>
    <w:p w14:paraId="0F0A2FAD"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Maintain the register of interests and ensure compliance with conflict-of-interest procedures</w:t>
      </w:r>
    </w:p>
    <w:p w14:paraId="14D3A983" w14:textId="021B8D5D" w:rsidR="00322245" w:rsidRDefault="00322245" w:rsidP="00322245">
      <w:pPr>
        <w:pStyle w:val="NoSpacing"/>
        <w:numPr>
          <w:ilvl w:val="0"/>
          <w:numId w:val="36"/>
        </w:numPr>
        <w:spacing w:line="276" w:lineRule="auto"/>
        <w:rPr>
          <w:rFonts w:cs="Arial"/>
          <w:szCs w:val="24"/>
        </w:rPr>
      </w:pPr>
      <w:r w:rsidRPr="00322245">
        <w:rPr>
          <w:rFonts w:cs="Arial"/>
          <w:szCs w:val="24"/>
        </w:rPr>
        <w:t>Provide confidential advice to governors on governance matters</w:t>
      </w:r>
    </w:p>
    <w:p w14:paraId="760ADA4F" w14:textId="77777777" w:rsidR="00322245" w:rsidRPr="00322245" w:rsidRDefault="00322245" w:rsidP="00322245">
      <w:pPr>
        <w:pStyle w:val="NoSpacing"/>
        <w:spacing w:line="276" w:lineRule="auto"/>
        <w:ind w:left="720"/>
        <w:rPr>
          <w:rFonts w:cs="Arial"/>
          <w:szCs w:val="24"/>
        </w:rPr>
      </w:pPr>
    </w:p>
    <w:p w14:paraId="171AB9C5"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Maintain oversight of:</w:t>
      </w:r>
    </w:p>
    <w:p w14:paraId="7755705D" w14:textId="77777777" w:rsidR="00322245" w:rsidRPr="00322245" w:rsidRDefault="00322245" w:rsidP="00322245">
      <w:pPr>
        <w:pStyle w:val="NoSpacing"/>
        <w:numPr>
          <w:ilvl w:val="0"/>
          <w:numId w:val="36"/>
        </w:numPr>
        <w:spacing w:line="276" w:lineRule="auto"/>
        <w:rPr>
          <w:rFonts w:cs="Arial"/>
          <w:szCs w:val="24"/>
        </w:rPr>
      </w:pPr>
      <w:r w:rsidRPr="00322245">
        <w:rPr>
          <w:rFonts w:cs="Arial"/>
          <w:szCs w:val="24"/>
        </w:rPr>
        <w:t>Governing documents</w:t>
      </w:r>
    </w:p>
    <w:p w14:paraId="23C489A9" w14:textId="19660B61" w:rsidR="00322245" w:rsidRDefault="00322245" w:rsidP="00322245">
      <w:pPr>
        <w:pStyle w:val="NoSpacing"/>
        <w:numPr>
          <w:ilvl w:val="0"/>
          <w:numId w:val="36"/>
        </w:numPr>
        <w:spacing w:line="276" w:lineRule="auto"/>
        <w:rPr>
          <w:rFonts w:cs="Arial"/>
          <w:szCs w:val="24"/>
        </w:rPr>
      </w:pPr>
      <w:r w:rsidRPr="00322245">
        <w:rPr>
          <w:rFonts w:cs="Arial"/>
          <w:szCs w:val="24"/>
        </w:rPr>
        <w:t xml:space="preserve">Compliance with legal and regulatory obligations including compliance with </w:t>
      </w:r>
      <w:proofErr w:type="spellStart"/>
      <w:r w:rsidRPr="00322245">
        <w:rPr>
          <w:rFonts w:cs="Arial"/>
          <w:szCs w:val="24"/>
        </w:rPr>
        <w:t>OfS</w:t>
      </w:r>
      <w:proofErr w:type="spellEnd"/>
      <w:r w:rsidRPr="00322245">
        <w:rPr>
          <w:rFonts w:cs="Arial"/>
          <w:szCs w:val="24"/>
        </w:rPr>
        <w:t xml:space="preserve"> conditions relating to governance, management, and accountability</w:t>
      </w:r>
    </w:p>
    <w:p w14:paraId="7ACF4A66" w14:textId="77777777" w:rsidR="00322245" w:rsidRPr="00322245" w:rsidRDefault="00322245" w:rsidP="00322245">
      <w:pPr>
        <w:pStyle w:val="NoSpacing"/>
        <w:spacing w:line="276" w:lineRule="auto"/>
        <w:ind w:left="720"/>
        <w:rPr>
          <w:rFonts w:cs="Arial"/>
          <w:szCs w:val="24"/>
        </w:rPr>
      </w:pPr>
    </w:p>
    <w:p w14:paraId="45E1E532" w14:textId="7D6613CD" w:rsidR="00322245" w:rsidRDefault="00322245" w:rsidP="00322245">
      <w:pPr>
        <w:pStyle w:val="NoSpacing"/>
        <w:numPr>
          <w:ilvl w:val="0"/>
          <w:numId w:val="37"/>
        </w:numPr>
        <w:spacing w:line="276" w:lineRule="auto"/>
        <w:rPr>
          <w:rFonts w:cs="Arial"/>
          <w:szCs w:val="24"/>
        </w:rPr>
      </w:pPr>
      <w:r w:rsidRPr="00322245">
        <w:rPr>
          <w:rFonts w:cs="Arial"/>
          <w:szCs w:val="24"/>
        </w:rPr>
        <w:t>Support Board development, induction, and effectiveness reviews</w:t>
      </w:r>
    </w:p>
    <w:p w14:paraId="50129D47" w14:textId="77777777" w:rsidR="00322245" w:rsidRPr="00322245" w:rsidRDefault="00322245" w:rsidP="00322245">
      <w:pPr>
        <w:pStyle w:val="NoSpacing"/>
        <w:spacing w:line="276" w:lineRule="auto"/>
        <w:rPr>
          <w:rFonts w:cs="Arial"/>
          <w:szCs w:val="24"/>
        </w:rPr>
      </w:pPr>
    </w:p>
    <w:p w14:paraId="06228FFA"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Act as a key point of contact between the Board and executive leadership</w:t>
      </w:r>
    </w:p>
    <w:p w14:paraId="5BF5BAC6" w14:textId="77777777" w:rsidR="00322245" w:rsidRDefault="00322245" w:rsidP="00322245">
      <w:pPr>
        <w:pStyle w:val="NoSpacing"/>
        <w:spacing w:line="276" w:lineRule="auto"/>
        <w:rPr>
          <w:rFonts w:cs="Arial"/>
          <w:szCs w:val="24"/>
        </w:rPr>
      </w:pPr>
    </w:p>
    <w:p w14:paraId="72104925" w14:textId="46A6980A" w:rsidR="00322245" w:rsidRDefault="00322245" w:rsidP="00322245">
      <w:pPr>
        <w:pStyle w:val="NoSpacing"/>
        <w:spacing w:line="276" w:lineRule="auto"/>
        <w:rPr>
          <w:rFonts w:cs="Arial"/>
          <w:b/>
          <w:bCs/>
          <w:szCs w:val="24"/>
        </w:rPr>
      </w:pPr>
      <w:r w:rsidRPr="00322245">
        <w:rPr>
          <w:rFonts w:cs="Arial"/>
          <w:b/>
          <w:bCs/>
          <w:szCs w:val="24"/>
        </w:rPr>
        <w:t>Key Relationships</w:t>
      </w:r>
    </w:p>
    <w:p w14:paraId="00239A3E" w14:textId="77777777" w:rsidR="00322245" w:rsidRPr="00322245" w:rsidRDefault="00322245" w:rsidP="00322245">
      <w:pPr>
        <w:pStyle w:val="NoSpacing"/>
        <w:spacing w:line="276" w:lineRule="auto"/>
        <w:rPr>
          <w:rFonts w:cs="Arial"/>
          <w:b/>
          <w:bCs/>
          <w:szCs w:val="24"/>
        </w:rPr>
      </w:pPr>
    </w:p>
    <w:p w14:paraId="6C50A73D" w14:textId="77777777" w:rsidR="00070CC9" w:rsidRDefault="00070CC9" w:rsidP="00322245">
      <w:pPr>
        <w:pStyle w:val="NoSpacing"/>
        <w:numPr>
          <w:ilvl w:val="0"/>
          <w:numId w:val="37"/>
        </w:numPr>
        <w:spacing w:line="276" w:lineRule="auto"/>
        <w:rPr>
          <w:rFonts w:cs="Arial"/>
          <w:szCs w:val="24"/>
        </w:rPr>
      </w:pPr>
      <w:r>
        <w:rPr>
          <w:rFonts w:cs="Arial"/>
          <w:szCs w:val="24"/>
        </w:rPr>
        <w:t>Principal</w:t>
      </w:r>
      <w:r w:rsidRPr="00322245">
        <w:rPr>
          <w:rFonts w:cs="Arial"/>
          <w:szCs w:val="24"/>
        </w:rPr>
        <w:t xml:space="preserve"> </w:t>
      </w:r>
    </w:p>
    <w:p w14:paraId="3A77DB0A" w14:textId="084C25BE" w:rsidR="00322245" w:rsidRPr="00322245" w:rsidRDefault="00322245" w:rsidP="00322245">
      <w:pPr>
        <w:pStyle w:val="NoSpacing"/>
        <w:numPr>
          <w:ilvl w:val="0"/>
          <w:numId w:val="37"/>
        </w:numPr>
        <w:spacing w:line="276" w:lineRule="auto"/>
        <w:rPr>
          <w:rFonts w:cs="Arial"/>
          <w:szCs w:val="24"/>
        </w:rPr>
      </w:pPr>
      <w:r w:rsidRPr="00322245">
        <w:rPr>
          <w:rFonts w:cs="Arial"/>
          <w:szCs w:val="24"/>
        </w:rPr>
        <w:t>Chair of the Governing Body</w:t>
      </w:r>
    </w:p>
    <w:p w14:paraId="231AEC12"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Senior Leadership Team</w:t>
      </w:r>
    </w:p>
    <w:p w14:paraId="5ADF356B" w14:textId="77777777" w:rsidR="00322245" w:rsidRPr="00322245" w:rsidRDefault="00322245" w:rsidP="00322245">
      <w:pPr>
        <w:pStyle w:val="NoSpacing"/>
        <w:numPr>
          <w:ilvl w:val="0"/>
          <w:numId w:val="37"/>
        </w:numPr>
        <w:spacing w:line="276" w:lineRule="auto"/>
        <w:rPr>
          <w:rFonts w:cs="Arial"/>
          <w:szCs w:val="24"/>
        </w:rPr>
      </w:pPr>
      <w:r w:rsidRPr="00322245">
        <w:rPr>
          <w:rFonts w:cs="Arial"/>
          <w:szCs w:val="24"/>
        </w:rPr>
        <w:t>Subsidiary Boards (Northern College of Art; Northern Studios (Hartlepool) Limited)</w:t>
      </w:r>
    </w:p>
    <w:p w14:paraId="401143A1" w14:textId="009D7F17" w:rsidR="00322245" w:rsidRDefault="00322245" w:rsidP="00322245">
      <w:pPr>
        <w:pStyle w:val="NoSpacing"/>
        <w:numPr>
          <w:ilvl w:val="0"/>
          <w:numId w:val="37"/>
        </w:numPr>
        <w:spacing w:line="276" w:lineRule="auto"/>
        <w:rPr>
          <w:rFonts w:cs="Arial"/>
          <w:szCs w:val="24"/>
        </w:rPr>
      </w:pPr>
      <w:r w:rsidRPr="00322245">
        <w:rPr>
          <w:rFonts w:cs="Arial"/>
          <w:szCs w:val="24"/>
        </w:rPr>
        <w:t>External legal advisers and regulators</w:t>
      </w:r>
    </w:p>
    <w:p w14:paraId="35215113" w14:textId="5A3016D3" w:rsidR="00322245" w:rsidRDefault="00322245" w:rsidP="00322245">
      <w:pPr>
        <w:pStyle w:val="NoSpacing"/>
        <w:spacing w:line="276" w:lineRule="auto"/>
        <w:rPr>
          <w:rFonts w:cs="Arial"/>
          <w:szCs w:val="24"/>
        </w:rPr>
      </w:pPr>
    </w:p>
    <w:p w14:paraId="50CCC240" w14:textId="77777777" w:rsidR="00322245" w:rsidRDefault="00322245" w:rsidP="00322245">
      <w:pPr>
        <w:pStyle w:val="NoSpacing"/>
        <w:numPr>
          <w:ilvl w:val="0"/>
          <w:numId w:val="24"/>
        </w:numPr>
        <w:jc w:val="both"/>
      </w:pPr>
      <w:r w:rsidRPr="001C7583">
        <w:t>All staff members are responsible for safeguarding children and adhering to the principles and guidelines outlined in the Keeping Children Safe in Education framework.</w:t>
      </w:r>
    </w:p>
    <w:p w14:paraId="01E88897" w14:textId="77777777" w:rsidR="00322245" w:rsidRPr="00322245" w:rsidRDefault="00322245" w:rsidP="00322245">
      <w:pPr>
        <w:pStyle w:val="NoSpacing"/>
        <w:spacing w:line="276" w:lineRule="auto"/>
        <w:rPr>
          <w:rFonts w:cs="Arial"/>
          <w:szCs w:val="24"/>
        </w:rPr>
      </w:pPr>
    </w:p>
    <w:p w14:paraId="72950024" w14:textId="77777777" w:rsidR="00DE02F5" w:rsidRDefault="00DE02F5" w:rsidP="00322245">
      <w:pPr>
        <w:pStyle w:val="NoSpacing"/>
        <w:rPr>
          <w:b/>
          <w:u w:val="single"/>
        </w:rPr>
      </w:pPr>
    </w:p>
    <w:p w14:paraId="66D1C413" w14:textId="18E3B49F" w:rsidR="00322245" w:rsidRPr="001C7583" w:rsidRDefault="00322245" w:rsidP="00322245">
      <w:pPr>
        <w:pStyle w:val="NoSpacing"/>
        <w:rPr>
          <w:b/>
          <w:u w:val="single"/>
        </w:rPr>
      </w:pPr>
      <w:r w:rsidRPr="001C7583">
        <w:rPr>
          <w:b/>
          <w:u w:val="single"/>
        </w:rPr>
        <w:t>GENERAL DUTIES:</w:t>
      </w:r>
    </w:p>
    <w:p w14:paraId="185C00E5" w14:textId="77777777" w:rsidR="00322245" w:rsidRPr="001C7583" w:rsidRDefault="00322245" w:rsidP="00322245">
      <w:pPr>
        <w:pStyle w:val="NoSpacing"/>
      </w:pPr>
    </w:p>
    <w:p w14:paraId="1C9B0B90" w14:textId="77777777" w:rsidR="00322245" w:rsidRPr="00B84580" w:rsidRDefault="00322245" w:rsidP="00322245">
      <w:pPr>
        <w:pStyle w:val="NoSpacing"/>
        <w:numPr>
          <w:ilvl w:val="0"/>
          <w:numId w:val="26"/>
        </w:numPr>
        <w:ind w:left="360"/>
        <w:jc w:val="both"/>
      </w:pPr>
      <w:r w:rsidRPr="00B84580">
        <w:t>Ensure other members of the team have information to cover effectively for you in your absence.</w:t>
      </w:r>
    </w:p>
    <w:p w14:paraId="031759E6" w14:textId="77777777" w:rsidR="00322245" w:rsidRPr="00B84580" w:rsidRDefault="00322245" w:rsidP="00322245">
      <w:pPr>
        <w:pStyle w:val="NoSpacing"/>
        <w:jc w:val="both"/>
      </w:pPr>
    </w:p>
    <w:p w14:paraId="31E08414" w14:textId="77777777" w:rsidR="00322245" w:rsidRPr="00B84580" w:rsidRDefault="00322245" w:rsidP="00322245">
      <w:pPr>
        <w:pStyle w:val="NoSpacing"/>
        <w:numPr>
          <w:ilvl w:val="0"/>
          <w:numId w:val="26"/>
        </w:numPr>
        <w:ind w:left="360"/>
        <w:jc w:val="both"/>
      </w:pPr>
      <w:r w:rsidRPr="00B84580">
        <w:t>To engage in professional development and networking to ensure that professional, and strategic contributions are up-to-date.</w:t>
      </w:r>
    </w:p>
    <w:p w14:paraId="0D37BD9A" w14:textId="77777777" w:rsidR="00322245" w:rsidRPr="00B84580" w:rsidRDefault="00322245" w:rsidP="00322245">
      <w:pPr>
        <w:pStyle w:val="NoSpacing"/>
        <w:jc w:val="both"/>
      </w:pPr>
    </w:p>
    <w:p w14:paraId="2E716841" w14:textId="77777777" w:rsidR="00322245" w:rsidRPr="00B84580" w:rsidRDefault="00322245" w:rsidP="00322245">
      <w:pPr>
        <w:pStyle w:val="NoSpacing"/>
        <w:numPr>
          <w:ilvl w:val="0"/>
          <w:numId w:val="26"/>
        </w:numPr>
        <w:ind w:left="360"/>
        <w:jc w:val="both"/>
      </w:pPr>
      <w:r w:rsidRPr="00B84580">
        <w:t>Ensure that the Corporation’s Health &amp; Safety Policy is adhered to at all times and take responsibility for general health and safety housekeeping within your work area.</w:t>
      </w:r>
    </w:p>
    <w:p w14:paraId="4FB95F01" w14:textId="77777777" w:rsidR="00322245" w:rsidRPr="00B84580" w:rsidRDefault="00322245" w:rsidP="00322245">
      <w:pPr>
        <w:pStyle w:val="NoSpacing"/>
        <w:jc w:val="both"/>
      </w:pPr>
    </w:p>
    <w:p w14:paraId="157E7797" w14:textId="77777777" w:rsidR="00322245" w:rsidRPr="00B84580" w:rsidRDefault="00322245" w:rsidP="00322245">
      <w:pPr>
        <w:pStyle w:val="NoSpacing"/>
        <w:numPr>
          <w:ilvl w:val="0"/>
          <w:numId w:val="26"/>
        </w:numPr>
        <w:ind w:left="360"/>
        <w:jc w:val="both"/>
      </w:pPr>
      <w:r w:rsidRPr="00B84580">
        <w:lastRenderedPageBreak/>
        <w:t>Participate actively in the performance management scheme, agreeing objectives, attending reviews and undertaking professional development as required.</w:t>
      </w:r>
    </w:p>
    <w:p w14:paraId="2FBEA79C" w14:textId="77777777" w:rsidR="00322245" w:rsidRPr="00B84580" w:rsidRDefault="00322245" w:rsidP="00322245">
      <w:pPr>
        <w:pStyle w:val="NoSpacing"/>
        <w:jc w:val="both"/>
      </w:pPr>
    </w:p>
    <w:p w14:paraId="4030D7A6" w14:textId="77777777" w:rsidR="00322245" w:rsidRPr="00B84580" w:rsidRDefault="00322245" w:rsidP="00322245">
      <w:pPr>
        <w:pStyle w:val="NoSpacing"/>
        <w:numPr>
          <w:ilvl w:val="0"/>
          <w:numId w:val="26"/>
        </w:numPr>
        <w:ind w:left="360"/>
        <w:jc w:val="both"/>
      </w:pPr>
      <w:r w:rsidRPr="00B84580">
        <w:t>Ensure that the Corporation’s Equality and Diversity policy is adhered to at all times and tackle or report discrimination and harassment wherever it occurs.</w:t>
      </w:r>
    </w:p>
    <w:p w14:paraId="2CCDDC30" w14:textId="77777777" w:rsidR="00322245" w:rsidRPr="00B84580" w:rsidRDefault="00322245" w:rsidP="00322245">
      <w:pPr>
        <w:pStyle w:val="NoSpacing"/>
        <w:jc w:val="both"/>
      </w:pPr>
    </w:p>
    <w:p w14:paraId="7084F1F4" w14:textId="77777777" w:rsidR="00322245" w:rsidRPr="00B84580" w:rsidRDefault="00322245" w:rsidP="00322245">
      <w:pPr>
        <w:pStyle w:val="NoSpacing"/>
        <w:numPr>
          <w:ilvl w:val="0"/>
          <w:numId w:val="26"/>
        </w:numPr>
        <w:ind w:left="360"/>
        <w:jc w:val="both"/>
      </w:pPr>
      <w:r w:rsidRPr="00B84580">
        <w:t>Ensure the safeguarding of learners at all times and report any potential issues without delay.</w:t>
      </w:r>
    </w:p>
    <w:p w14:paraId="374319A6" w14:textId="77777777" w:rsidR="00322245" w:rsidRPr="00B84580" w:rsidRDefault="00322245" w:rsidP="00322245">
      <w:pPr>
        <w:pStyle w:val="NoSpacing"/>
        <w:jc w:val="both"/>
      </w:pPr>
    </w:p>
    <w:p w14:paraId="35781318" w14:textId="0005420F" w:rsidR="00901D5E" w:rsidRPr="00322245" w:rsidRDefault="00322245" w:rsidP="00322245">
      <w:pPr>
        <w:pStyle w:val="NoSpacing"/>
        <w:numPr>
          <w:ilvl w:val="0"/>
          <w:numId w:val="26"/>
        </w:numPr>
        <w:spacing w:line="276" w:lineRule="auto"/>
        <w:ind w:left="360"/>
        <w:jc w:val="both"/>
        <w:rPr>
          <w:rFonts w:cs="Arial"/>
          <w:b/>
          <w:szCs w:val="24"/>
          <w:u w:val="single"/>
        </w:rPr>
      </w:pPr>
      <w:r w:rsidRPr="00B84580">
        <w:t>All employees are expected to be fully committed to policies/processes on equality, diversity, safeguarding and the Prevent Agenda.</w:t>
      </w:r>
    </w:p>
    <w:p w14:paraId="2FCAD396" w14:textId="77777777" w:rsidR="00FA1EE3" w:rsidRPr="00901D5E" w:rsidRDefault="00FA1EE3" w:rsidP="00322245">
      <w:pPr>
        <w:pStyle w:val="NoSpacing"/>
        <w:spacing w:line="276" w:lineRule="auto"/>
        <w:jc w:val="both"/>
        <w:rPr>
          <w:rFonts w:cs="Arial"/>
          <w:szCs w:val="24"/>
        </w:rPr>
      </w:pPr>
    </w:p>
    <w:p w14:paraId="6351815F" w14:textId="6C0D0988" w:rsidR="00FA1EE3" w:rsidRPr="00901D5E" w:rsidRDefault="00FA1EE3" w:rsidP="00322245">
      <w:pPr>
        <w:pStyle w:val="NoSpacing"/>
        <w:numPr>
          <w:ilvl w:val="0"/>
          <w:numId w:val="26"/>
        </w:numPr>
        <w:spacing w:line="276" w:lineRule="auto"/>
        <w:ind w:left="360"/>
        <w:jc w:val="both"/>
        <w:rPr>
          <w:rFonts w:cs="Arial"/>
          <w:szCs w:val="24"/>
        </w:rPr>
      </w:pPr>
      <w:r w:rsidRPr="00901D5E">
        <w:rPr>
          <w:rFonts w:cs="Arial"/>
          <w:szCs w:val="24"/>
        </w:rPr>
        <w:t>Any other duties commensurate with the nature and level of the post, as directed by the</w:t>
      </w:r>
      <w:r w:rsidR="00AF4BE6" w:rsidRPr="00901D5E">
        <w:rPr>
          <w:rFonts w:cs="Arial"/>
          <w:szCs w:val="24"/>
        </w:rPr>
        <w:t xml:space="preserve"> </w:t>
      </w:r>
      <w:r w:rsidR="00070CC9">
        <w:rPr>
          <w:rFonts w:cs="Arial"/>
          <w:szCs w:val="24"/>
        </w:rPr>
        <w:t>Principal</w:t>
      </w:r>
      <w:r w:rsidR="00070CC9" w:rsidRPr="00901D5E">
        <w:rPr>
          <w:rFonts w:cs="Arial"/>
          <w:szCs w:val="24"/>
        </w:rPr>
        <w:t xml:space="preserve"> </w:t>
      </w:r>
      <w:bookmarkStart w:id="0" w:name="_GoBack"/>
      <w:bookmarkEnd w:id="0"/>
      <w:r w:rsidR="00901D5E" w:rsidRPr="00901D5E">
        <w:rPr>
          <w:rFonts w:cs="Arial"/>
          <w:szCs w:val="24"/>
        </w:rPr>
        <w:t xml:space="preserve">and Chair of the </w:t>
      </w:r>
      <w:r w:rsidR="0067116F">
        <w:rPr>
          <w:rFonts w:cs="Arial"/>
          <w:szCs w:val="24"/>
        </w:rPr>
        <w:t xml:space="preserve">HE </w:t>
      </w:r>
      <w:r w:rsidR="00901D5E" w:rsidRPr="00901D5E">
        <w:rPr>
          <w:rFonts w:cs="Arial"/>
          <w:szCs w:val="24"/>
        </w:rPr>
        <w:t>Governing Body</w:t>
      </w:r>
    </w:p>
    <w:p w14:paraId="1293C432" w14:textId="77777777" w:rsidR="00901D5E" w:rsidRPr="00901D5E" w:rsidRDefault="00901D5E" w:rsidP="00322245">
      <w:pPr>
        <w:pStyle w:val="ListParagraph"/>
        <w:spacing w:line="276" w:lineRule="auto"/>
        <w:ind w:left="360"/>
        <w:rPr>
          <w:rFonts w:cs="Arial"/>
          <w:szCs w:val="24"/>
        </w:rPr>
      </w:pPr>
    </w:p>
    <w:p w14:paraId="48DD0FE6" w14:textId="5E2EAB92" w:rsidR="00FA1EE3" w:rsidRPr="00901D5E" w:rsidRDefault="00901D5E" w:rsidP="00322245">
      <w:pPr>
        <w:pStyle w:val="NoSpacing"/>
        <w:numPr>
          <w:ilvl w:val="0"/>
          <w:numId w:val="26"/>
        </w:numPr>
        <w:spacing w:line="276" w:lineRule="auto"/>
        <w:ind w:left="360"/>
        <w:jc w:val="both"/>
        <w:rPr>
          <w:rFonts w:cs="Arial"/>
          <w:szCs w:val="24"/>
        </w:rPr>
      </w:pPr>
      <w:r w:rsidRPr="00901D5E">
        <w:rPr>
          <w:rFonts w:cs="Arial"/>
          <w:szCs w:val="24"/>
        </w:rPr>
        <w:t>T</w:t>
      </w:r>
      <w:r w:rsidR="00FA1EE3" w:rsidRPr="00901D5E">
        <w:rPr>
          <w:rFonts w:cs="Arial"/>
          <w:szCs w:val="24"/>
        </w:rPr>
        <w:t>his list is not exhaustive and is only an indication of responsibilities.</w:t>
      </w:r>
    </w:p>
    <w:p w14:paraId="3B2083C3" w14:textId="61C6BBF1" w:rsidR="009916A1" w:rsidRPr="00901D5E" w:rsidRDefault="009916A1" w:rsidP="00322245">
      <w:pPr>
        <w:spacing w:line="276" w:lineRule="auto"/>
        <w:jc w:val="both"/>
        <w:rPr>
          <w:rFonts w:cs="Arial"/>
          <w:szCs w:val="24"/>
        </w:rPr>
      </w:pPr>
    </w:p>
    <w:p w14:paraId="158822F7" w14:textId="4EC72CBF" w:rsidR="009916A1" w:rsidRPr="00901D5E" w:rsidRDefault="009916A1" w:rsidP="00322245">
      <w:pPr>
        <w:pStyle w:val="NoSpacing"/>
        <w:spacing w:line="276" w:lineRule="auto"/>
        <w:jc w:val="both"/>
        <w:rPr>
          <w:rFonts w:cs="Arial"/>
          <w:szCs w:val="24"/>
        </w:rPr>
      </w:pPr>
    </w:p>
    <w:p w14:paraId="0775CA8D" w14:textId="77777777" w:rsidR="00322245" w:rsidRPr="001C7583" w:rsidRDefault="00322245" w:rsidP="00322245">
      <w:pPr>
        <w:pStyle w:val="NoSpacing"/>
        <w:jc w:val="both"/>
        <w:rPr>
          <w:rFonts w:ascii="Aptos" w:hAnsi="Aptos"/>
          <w:b/>
          <w:sz w:val="22"/>
          <w:u w:val="single"/>
        </w:rPr>
      </w:pPr>
      <w:r w:rsidRPr="001C7583">
        <w:rPr>
          <w:b/>
          <w:u w:val="single"/>
        </w:rPr>
        <w:t>SAFEGUARDING</w:t>
      </w:r>
    </w:p>
    <w:p w14:paraId="4CE829F6" w14:textId="77777777" w:rsidR="00322245" w:rsidRDefault="00322245" w:rsidP="00322245">
      <w:pPr>
        <w:pStyle w:val="NoSpacing"/>
        <w:jc w:val="both"/>
      </w:pPr>
      <w:r>
        <w:t> </w:t>
      </w:r>
    </w:p>
    <w:p w14:paraId="019E98B0" w14:textId="77777777" w:rsidR="00322245" w:rsidRDefault="00322245" w:rsidP="00322245">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3C545501" w14:textId="77777777" w:rsidR="00322245" w:rsidRDefault="00322245" w:rsidP="00322245">
      <w:pPr>
        <w:pStyle w:val="NoSpacing"/>
        <w:jc w:val="both"/>
      </w:pPr>
    </w:p>
    <w:p w14:paraId="0A4DE2A1" w14:textId="77777777" w:rsidR="00322245" w:rsidRPr="001C7583" w:rsidRDefault="00322245" w:rsidP="00322245">
      <w:pPr>
        <w:pStyle w:val="NoSpacing"/>
        <w:jc w:val="both"/>
        <w:rPr>
          <w:b/>
          <w:u w:val="single"/>
        </w:rPr>
      </w:pPr>
      <w:r w:rsidRPr="001C7583">
        <w:rPr>
          <w:b/>
          <w:u w:val="single"/>
        </w:rPr>
        <w:t>EQUALITY, EQUITY, DIVERSITY AND INCLUSION</w:t>
      </w:r>
    </w:p>
    <w:p w14:paraId="68FC0291" w14:textId="77777777" w:rsidR="00322245" w:rsidRDefault="00322245" w:rsidP="00322245">
      <w:pPr>
        <w:pStyle w:val="NoSpacing"/>
        <w:jc w:val="both"/>
      </w:pPr>
    </w:p>
    <w:p w14:paraId="26FB6AD7" w14:textId="77777777" w:rsidR="00322245" w:rsidRPr="009916A1" w:rsidRDefault="00322245" w:rsidP="00322245">
      <w:pPr>
        <w:pStyle w:val="NoSpacing"/>
        <w:jc w:val="both"/>
        <w:sectPr w:rsidR="00322245" w:rsidRPr="009916A1" w:rsidSect="009916A1">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 xml:space="preserve">At </w:t>
      </w:r>
      <w:proofErr w:type="gramStart"/>
      <w:r>
        <w:t>The</w:t>
      </w:r>
      <w:proofErr w:type="gramEnd"/>
      <w:r>
        <w:t xml:space="preserve"> Northern School of Art, we want all of our employees to feel included bringing their passion, creativity and individuality to work. We value all cultures, backgrounds and experiences, and we truly believe that diversity drives innovation. </w:t>
      </w:r>
    </w:p>
    <w:p w14:paraId="3303D4C8" w14:textId="77777777" w:rsidR="00C67138" w:rsidRDefault="00C67138" w:rsidP="00322245">
      <w:pPr>
        <w:pStyle w:val="Heading5"/>
        <w:spacing w:before="0" w:after="0" w:line="276" w:lineRule="auto"/>
        <w:rPr>
          <w:rFonts w:cs="Arial"/>
          <w:i w:val="0"/>
          <w:sz w:val="24"/>
          <w:szCs w:val="24"/>
        </w:rPr>
      </w:pPr>
    </w:p>
    <w:p w14:paraId="294D2563" w14:textId="782D252C" w:rsidR="00C67138" w:rsidRPr="00B832DB" w:rsidRDefault="00C67138" w:rsidP="004D5431">
      <w:pPr>
        <w:pStyle w:val="Heading5"/>
        <w:spacing w:before="0" w:after="0" w:line="276" w:lineRule="auto"/>
        <w:jc w:val="center"/>
        <w:rPr>
          <w:rFonts w:cs="Arial"/>
          <w:i w:val="0"/>
          <w:sz w:val="24"/>
          <w:szCs w:val="24"/>
        </w:rPr>
      </w:pPr>
      <w:r w:rsidRPr="00901D5E">
        <w:rPr>
          <w:rFonts w:cs="Arial"/>
          <w:i w:val="0"/>
          <w:sz w:val="24"/>
          <w:szCs w:val="24"/>
        </w:rPr>
        <w:t>Person Specification</w:t>
      </w:r>
      <w:r>
        <w:rPr>
          <w:rFonts w:cs="Arial"/>
          <w:i w:val="0"/>
          <w:sz w:val="24"/>
          <w:szCs w:val="24"/>
        </w:rPr>
        <w:t xml:space="preserve"> - </w:t>
      </w:r>
      <w:r w:rsidR="00A55DB3">
        <w:rPr>
          <w:rFonts w:cs="Arial"/>
          <w:i w:val="0"/>
          <w:sz w:val="24"/>
          <w:szCs w:val="24"/>
        </w:rPr>
        <w:t>Group Solicitor and Secretary to the HE Governing Body</w:t>
      </w:r>
    </w:p>
    <w:p w14:paraId="0FA01DA9" w14:textId="77777777" w:rsidR="00C67138" w:rsidRPr="00901D5E" w:rsidRDefault="00C67138" w:rsidP="00322245">
      <w:pPr>
        <w:spacing w:line="276" w:lineRule="auto"/>
        <w:jc w:val="center"/>
        <w:rPr>
          <w:rFonts w:cs="Arial"/>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C67138" w:rsidRPr="00901D5E" w14:paraId="099EA362" w14:textId="77777777" w:rsidTr="00445CEF">
        <w:trPr>
          <w:cantSplit/>
          <w:trHeight w:val="1927"/>
          <w:tblHeader/>
        </w:trPr>
        <w:tc>
          <w:tcPr>
            <w:tcW w:w="12895" w:type="dxa"/>
            <w:tcBorders>
              <w:bottom w:val="double" w:sz="4" w:space="0" w:color="auto"/>
            </w:tcBorders>
          </w:tcPr>
          <w:p w14:paraId="0C9E95F1" w14:textId="77777777" w:rsidR="00C67138" w:rsidRPr="00901D5E" w:rsidRDefault="00C67138" w:rsidP="00322245">
            <w:pPr>
              <w:spacing w:line="276" w:lineRule="auto"/>
              <w:rPr>
                <w:rFonts w:cs="Arial"/>
                <w:szCs w:val="24"/>
              </w:rPr>
            </w:pPr>
            <w:r w:rsidRPr="00901D5E">
              <w:rPr>
                <w:rFonts w:cs="Arial"/>
                <w:szCs w:val="24"/>
              </w:rPr>
              <w:t>Specification, whether essential or desirable, and where the specification will be tested</w:t>
            </w:r>
          </w:p>
        </w:tc>
        <w:tc>
          <w:tcPr>
            <w:tcW w:w="567" w:type="dxa"/>
            <w:tcBorders>
              <w:bottom w:val="double" w:sz="4" w:space="0" w:color="auto"/>
            </w:tcBorders>
            <w:textDirection w:val="btLr"/>
          </w:tcPr>
          <w:p w14:paraId="3AEB0535" w14:textId="77777777" w:rsidR="00C67138" w:rsidRPr="00901D5E" w:rsidRDefault="00C67138" w:rsidP="00322245">
            <w:pPr>
              <w:spacing w:line="276" w:lineRule="auto"/>
              <w:rPr>
                <w:rFonts w:cs="Arial"/>
                <w:szCs w:val="24"/>
              </w:rPr>
            </w:pPr>
            <w:r w:rsidRPr="00901D5E">
              <w:rPr>
                <w:rFonts w:cs="Arial"/>
                <w:szCs w:val="24"/>
              </w:rPr>
              <w:t>ESSENTIAL</w:t>
            </w:r>
          </w:p>
        </w:tc>
        <w:tc>
          <w:tcPr>
            <w:tcW w:w="567" w:type="dxa"/>
            <w:tcBorders>
              <w:bottom w:val="double" w:sz="4" w:space="0" w:color="auto"/>
              <w:right w:val="double" w:sz="4" w:space="0" w:color="auto"/>
            </w:tcBorders>
            <w:textDirection w:val="btLr"/>
          </w:tcPr>
          <w:p w14:paraId="6533A71B" w14:textId="77777777" w:rsidR="00C67138" w:rsidRPr="00901D5E" w:rsidRDefault="00C67138" w:rsidP="00322245">
            <w:pPr>
              <w:spacing w:line="276" w:lineRule="auto"/>
              <w:rPr>
                <w:rFonts w:cs="Arial"/>
                <w:szCs w:val="24"/>
              </w:rPr>
            </w:pPr>
            <w:r w:rsidRPr="00901D5E">
              <w:rPr>
                <w:rFonts w:cs="Arial"/>
                <w:szCs w:val="24"/>
              </w:rPr>
              <w:t>DESIRABLE</w:t>
            </w:r>
          </w:p>
        </w:tc>
      </w:tr>
      <w:tr w:rsidR="00C67138" w:rsidRPr="00901D5E" w14:paraId="37CD8279" w14:textId="77777777" w:rsidTr="00445CEF">
        <w:trPr>
          <w:trHeight w:val="257"/>
        </w:trPr>
        <w:tc>
          <w:tcPr>
            <w:tcW w:w="12895" w:type="dxa"/>
            <w:tcBorders>
              <w:top w:val="double" w:sz="4" w:space="0" w:color="auto"/>
            </w:tcBorders>
          </w:tcPr>
          <w:p w14:paraId="25EEA1A6" w14:textId="77777777" w:rsidR="00C67138" w:rsidRPr="00901D5E" w:rsidRDefault="00C67138" w:rsidP="00322245">
            <w:pPr>
              <w:pStyle w:val="Heading1"/>
              <w:spacing w:line="276" w:lineRule="auto"/>
              <w:rPr>
                <w:rFonts w:cs="Arial"/>
                <w:szCs w:val="24"/>
                <w:u w:val="none"/>
              </w:rPr>
            </w:pPr>
            <w:r w:rsidRPr="00901D5E">
              <w:rPr>
                <w:rFonts w:cs="Arial"/>
                <w:szCs w:val="24"/>
                <w:u w:val="none"/>
              </w:rPr>
              <w:t>Qualifications</w:t>
            </w:r>
          </w:p>
        </w:tc>
        <w:tc>
          <w:tcPr>
            <w:tcW w:w="567" w:type="dxa"/>
            <w:tcBorders>
              <w:top w:val="double" w:sz="4" w:space="0" w:color="auto"/>
            </w:tcBorders>
          </w:tcPr>
          <w:p w14:paraId="4EBC15E0" w14:textId="3F386628" w:rsidR="00C67138" w:rsidRPr="00901D5E" w:rsidRDefault="00C67138" w:rsidP="00322245">
            <w:pPr>
              <w:spacing w:line="276" w:lineRule="auto"/>
              <w:rPr>
                <w:rFonts w:cs="Arial"/>
                <w:szCs w:val="24"/>
              </w:rPr>
            </w:pPr>
          </w:p>
        </w:tc>
        <w:tc>
          <w:tcPr>
            <w:tcW w:w="567" w:type="dxa"/>
            <w:tcBorders>
              <w:top w:val="double" w:sz="4" w:space="0" w:color="auto"/>
              <w:right w:val="double" w:sz="4" w:space="0" w:color="auto"/>
            </w:tcBorders>
          </w:tcPr>
          <w:p w14:paraId="20A01189" w14:textId="77777777" w:rsidR="00C67138" w:rsidRPr="00901D5E" w:rsidRDefault="00C67138" w:rsidP="00322245">
            <w:pPr>
              <w:spacing w:line="276" w:lineRule="auto"/>
              <w:rPr>
                <w:rFonts w:cs="Arial"/>
                <w:szCs w:val="24"/>
              </w:rPr>
            </w:pPr>
          </w:p>
        </w:tc>
      </w:tr>
      <w:tr w:rsidR="00C67138" w:rsidRPr="00901D5E" w14:paraId="733E3647" w14:textId="77777777" w:rsidTr="004D5431">
        <w:tc>
          <w:tcPr>
            <w:tcW w:w="12895" w:type="dxa"/>
            <w:shd w:val="clear" w:color="auto" w:fill="auto"/>
          </w:tcPr>
          <w:p w14:paraId="62131D4B" w14:textId="24C546C3" w:rsidR="00C67138" w:rsidRPr="004D5431" w:rsidRDefault="00C67138" w:rsidP="00322245">
            <w:pPr>
              <w:pStyle w:val="paragraph"/>
              <w:spacing w:before="0" w:beforeAutospacing="0" w:after="0" w:afterAutospacing="0" w:line="276" w:lineRule="auto"/>
              <w:textAlignment w:val="baseline"/>
              <w:rPr>
                <w:rFonts w:ascii="Segoe UI" w:hAnsi="Segoe UI" w:cs="Segoe UI"/>
                <w:sz w:val="18"/>
                <w:szCs w:val="18"/>
              </w:rPr>
            </w:pPr>
            <w:r w:rsidRPr="004D5431">
              <w:rPr>
                <w:rStyle w:val="normaltextrun"/>
                <w:rFonts w:ascii="Arial" w:hAnsi="Arial" w:cs="Arial"/>
              </w:rPr>
              <w:t>Qualified Solicitor entitled to practise in England and Wales</w:t>
            </w:r>
          </w:p>
        </w:tc>
        <w:tc>
          <w:tcPr>
            <w:tcW w:w="567" w:type="dxa"/>
            <w:shd w:val="clear" w:color="auto" w:fill="auto"/>
          </w:tcPr>
          <w:p w14:paraId="1257AF13" w14:textId="77777777" w:rsidR="00C67138" w:rsidRPr="004D5431" w:rsidRDefault="00C67138" w:rsidP="00322245">
            <w:pPr>
              <w:spacing w:line="276" w:lineRule="auto"/>
              <w:rPr>
                <w:rFonts w:cs="Arial"/>
                <w:szCs w:val="24"/>
              </w:rPr>
            </w:pPr>
            <w:r w:rsidRPr="004D5431">
              <w:rPr>
                <w:rFonts w:cs="Arial"/>
                <w:szCs w:val="24"/>
              </w:rPr>
              <w:t>Y</w:t>
            </w:r>
          </w:p>
        </w:tc>
        <w:tc>
          <w:tcPr>
            <w:tcW w:w="567" w:type="dxa"/>
            <w:tcBorders>
              <w:right w:val="double" w:sz="4" w:space="0" w:color="auto"/>
            </w:tcBorders>
            <w:shd w:val="clear" w:color="auto" w:fill="auto"/>
          </w:tcPr>
          <w:p w14:paraId="48E423CC" w14:textId="77777777" w:rsidR="00C67138" w:rsidRPr="004D5431" w:rsidRDefault="00C67138" w:rsidP="00322245">
            <w:pPr>
              <w:spacing w:line="276" w:lineRule="auto"/>
              <w:rPr>
                <w:rFonts w:cs="Arial"/>
                <w:szCs w:val="24"/>
              </w:rPr>
            </w:pPr>
          </w:p>
        </w:tc>
      </w:tr>
      <w:tr w:rsidR="00C67138" w:rsidRPr="00901D5E" w14:paraId="4BD4BE6A" w14:textId="77777777" w:rsidTr="004D5431">
        <w:tc>
          <w:tcPr>
            <w:tcW w:w="12895" w:type="dxa"/>
            <w:shd w:val="clear" w:color="auto" w:fill="auto"/>
          </w:tcPr>
          <w:p w14:paraId="4D6ABFFC" w14:textId="77777777" w:rsidR="00C67138" w:rsidRPr="00901D5E" w:rsidRDefault="00C67138" w:rsidP="00322245">
            <w:pPr>
              <w:pStyle w:val="Heading1"/>
              <w:spacing w:line="276" w:lineRule="auto"/>
              <w:rPr>
                <w:rFonts w:cs="Arial"/>
                <w:szCs w:val="24"/>
                <w:u w:val="none"/>
              </w:rPr>
            </w:pPr>
            <w:r w:rsidRPr="00901D5E">
              <w:rPr>
                <w:rFonts w:cs="Arial"/>
                <w:szCs w:val="24"/>
                <w:u w:val="none"/>
              </w:rPr>
              <w:t>Experience / Knowledge</w:t>
            </w:r>
          </w:p>
        </w:tc>
        <w:tc>
          <w:tcPr>
            <w:tcW w:w="567" w:type="dxa"/>
            <w:shd w:val="clear" w:color="auto" w:fill="auto"/>
          </w:tcPr>
          <w:p w14:paraId="1353FD18" w14:textId="77777777" w:rsidR="00C67138" w:rsidRPr="00901D5E" w:rsidRDefault="00C67138" w:rsidP="00322245">
            <w:pPr>
              <w:spacing w:line="276" w:lineRule="auto"/>
              <w:rPr>
                <w:rFonts w:cs="Arial"/>
                <w:szCs w:val="24"/>
              </w:rPr>
            </w:pPr>
          </w:p>
        </w:tc>
        <w:tc>
          <w:tcPr>
            <w:tcW w:w="567" w:type="dxa"/>
            <w:tcBorders>
              <w:right w:val="double" w:sz="4" w:space="0" w:color="auto"/>
            </w:tcBorders>
            <w:shd w:val="clear" w:color="auto" w:fill="auto"/>
          </w:tcPr>
          <w:p w14:paraId="18212D54" w14:textId="77777777" w:rsidR="00C67138" w:rsidRPr="00901D5E" w:rsidRDefault="00C67138" w:rsidP="00322245">
            <w:pPr>
              <w:spacing w:line="276" w:lineRule="auto"/>
              <w:rPr>
                <w:rFonts w:cs="Arial"/>
                <w:szCs w:val="24"/>
              </w:rPr>
            </w:pPr>
          </w:p>
        </w:tc>
      </w:tr>
      <w:tr w:rsidR="00C67138" w:rsidRPr="00901D5E" w14:paraId="3F357B1E" w14:textId="77777777" w:rsidTr="004D5431">
        <w:tc>
          <w:tcPr>
            <w:tcW w:w="12895" w:type="dxa"/>
            <w:shd w:val="clear" w:color="auto" w:fill="auto"/>
          </w:tcPr>
          <w:p w14:paraId="3B99CC9D" w14:textId="593367C0" w:rsidR="00C67138" w:rsidRPr="00901D5E" w:rsidRDefault="004D5431" w:rsidP="004D5431">
            <w:pPr>
              <w:spacing w:after="120" w:line="259" w:lineRule="auto"/>
              <w:jc w:val="both"/>
              <w:rPr>
                <w:rFonts w:cs="Arial"/>
                <w:szCs w:val="24"/>
              </w:rPr>
            </w:pPr>
            <w:r w:rsidRPr="00B6618E">
              <w:rPr>
                <w:rFonts w:cs="Arial"/>
                <w:szCs w:val="24"/>
              </w:rPr>
              <w:t>Significant post-qualification experience ideally including in house or education/charity sector in</w:t>
            </w:r>
            <w:r>
              <w:rPr>
                <w:rFonts w:cs="Arial"/>
                <w:szCs w:val="24"/>
              </w:rPr>
              <w:t xml:space="preserve"> </w:t>
            </w:r>
            <w:r w:rsidRPr="00B6618E">
              <w:rPr>
                <w:rFonts w:cs="Arial"/>
                <w:szCs w:val="24"/>
              </w:rPr>
              <w:t>Commercial and/or education law</w:t>
            </w:r>
            <w:r w:rsidR="00DE02F5">
              <w:rPr>
                <w:rFonts w:cs="Arial"/>
                <w:szCs w:val="24"/>
              </w:rPr>
              <w:t xml:space="preserve"> </w:t>
            </w:r>
            <w:r>
              <w:rPr>
                <w:rFonts w:cs="Arial"/>
                <w:szCs w:val="24"/>
              </w:rPr>
              <w:t xml:space="preserve">&amp; </w:t>
            </w:r>
            <w:r w:rsidRPr="00B6618E">
              <w:rPr>
                <w:rFonts w:cs="Arial"/>
                <w:szCs w:val="24"/>
              </w:rPr>
              <w:t>Governance and regulatory compliance</w:t>
            </w:r>
          </w:p>
        </w:tc>
        <w:tc>
          <w:tcPr>
            <w:tcW w:w="567" w:type="dxa"/>
            <w:shd w:val="clear" w:color="auto" w:fill="auto"/>
          </w:tcPr>
          <w:p w14:paraId="164B704A" w14:textId="77777777" w:rsidR="00C67138" w:rsidRPr="00901D5E" w:rsidRDefault="00C67138" w:rsidP="00322245">
            <w:pPr>
              <w:spacing w:line="276" w:lineRule="auto"/>
              <w:rPr>
                <w:rFonts w:cs="Arial"/>
                <w:szCs w:val="24"/>
              </w:rPr>
            </w:pPr>
            <w:r>
              <w:rPr>
                <w:rFonts w:cs="Arial"/>
                <w:szCs w:val="24"/>
              </w:rPr>
              <w:t>Y</w:t>
            </w:r>
          </w:p>
        </w:tc>
        <w:tc>
          <w:tcPr>
            <w:tcW w:w="567" w:type="dxa"/>
            <w:tcBorders>
              <w:right w:val="double" w:sz="4" w:space="0" w:color="auto"/>
            </w:tcBorders>
            <w:shd w:val="clear" w:color="auto" w:fill="auto"/>
          </w:tcPr>
          <w:p w14:paraId="671F84C6" w14:textId="77777777" w:rsidR="00C67138" w:rsidRPr="00901D5E" w:rsidRDefault="00C67138" w:rsidP="00322245">
            <w:pPr>
              <w:spacing w:line="276" w:lineRule="auto"/>
              <w:rPr>
                <w:rFonts w:cs="Arial"/>
                <w:szCs w:val="24"/>
              </w:rPr>
            </w:pPr>
          </w:p>
        </w:tc>
      </w:tr>
      <w:tr w:rsidR="00C67138" w:rsidRPr="00901D5E" w14:paraId="496A372D" w14:textId="77777777" w:rsidTr="00445CEF">
        <w:tc>
          <w:tcPr>
            <w:tcW w:w="12895" w:type="dxa"/>
          </w:tcPr>
          <w:p w14:paraId="01C109EA" w14:textId="668F3616" w:rsidR="00C67138" w:rsidRPr="00901D5E" w:rsidRDefault="004D5431" w:rsidP="004D5431">
            <w:pPr>
              <w:spacing w:after="80" w:line="259" w:lineRule="auto"/>
              <w:jc w:val="both"/>
              <w:rPr>
                <w:rFonts w:cs="Arial"/>
                <w:b/>
                <w:szCs w:val="24"/>
              </w:rPr>
            </w:pPr>
            <w:r w:rsidRPr="00B6618E">
              <w:rPr>
                <w:rFonts w:cs="Arial"/>
                <w:szCs w:val="24"/>
              </w:rPr>
              <w:t>Strong understanding of corporate governance frameworks, charity law, and regulatory frameworks</w:t>
            </w:r>
          </w:p>
        </w:tc>
        <w:tc>
          <w:tcPr>
            <w:tcW w:w="567" w:type="dxa"/>
          </w:tcPr>
          <w:p w14:paraId="65A60B94" w14:textId="1F1AC9FA" w:rsidR="00C67138" w:rsidRPr="00901D5E" w:rsidRDefault="004D5431" w:rsidP="00322245">
            <w:pPr>
              <w:spacing w:line="276" w:lineRule="auto"/>
              <w:rPr>
                <w:rFonts w:cs="Arial"/>
                <w:szCs w:val="24"/>
              </w:rPr>
            </w:pPr>
            <w:r>
              <w:rPr>
                <w:rFonts w:cs="Arial"/>
                <w:szCs w:val="24"/>
              </w:rPr>
              <w:t>Y</w:t>
            </w:r>
          </w:p>
        </w:tc>
        <w:tc>
          <w:tcPr>
            <w:tcW w:w="567" w:type="dxa"/>
            <w:tcBorders>
              <w:right w:val="double" w:sz="4" w:space="0" w:color="auto"/>
            </w:tcBorders>
          </w:tcPr>
          <w:p w14:paraId="2E17281A" w14:textId="77777777" w:rsidR="00C67138" w:rsidRPr="00901D5E" w:rsidRDefault="00C67138" w:rsidP="00322245">
            <w:pPr>
              <w:spacing w:line="276" w:lineRule="auto"/>
              <w:rPr>
                <w:rFonts w:cs="Arial"/>
                <w:szCs w:val="24"/>
              </w:rPr>
            </w:pPr>
          </w:p>
        </w:tc>
      </w:tr>
      <w:tr w:rsidR="004D5431" w:rsidRPr="00901D5E" w14:paraId="2752000A" w14:textId="77777777" w:rsidTr="00445CEF">
        <w:tc>
          <w:tcPr>
            <w:tcW w:w="12895" w:type="dxa"/>
          </w:tcPr>
          <w:p w14:paraId="0AD38900" w14:textId="15B72C3B" w:rsidR="004D5431" w:rsidRPr="00901D5E" w:rsidRDefault="004D5431" w:rsidP="004D5431">
            <w:pPr>
              <w:pStyle w:val="Heading1"/>
              <w:spacing w:line="276" w:lineRule="auto"/>
              <w:rPr>
                <w:rFonts w:cs="Arial"/>
                <w:b w:val="0"/>
                <w:szCs w:val="24"/>
                <w:u w:val="none"/>
              </w:rPr>
            </w:pPr>
            <w:r w:rsidRPr="004D5431">
              <w:rPr>
                <w:rFonts w:cs="Arial"/>
                <w:b w:val="0"/>
                <w:szCs w:val="24"/>
                <w:u w:val="none"/>
              </w:rPr>
              <w:t>Experience drafting and negotiating contracts</w:t>
            </w:r>
          </w:p>
        </w:tc>
        <w:tc>
          <w:tcPr>
            <w:tcW w:w="567" w:type="dxa"/>
          </w:tcPr>
          <w:p w14:paraId="703B7BB2" w14:textId="06D19D09" w:rsidR="004D5431" w:rsidRPr="00901D5E" w:rsidRDefault="004D5431" w:rsidP="004D5431">
            <w:pPr>
              <w:spacing w:line="276" w:lineRule="auto"/>
              <w:rPr>
                <w:rFonts w:cs="Arial"/>
                <w:szCs w:val="24"/>
              </w:rPr>
            </w:pPr>
            <w:r w:rsidRPr="00233585">
              <w:rPr>
                <w:rFonts w:cs="Arial"/>
                <w:szCs w:val="24"/>
              </w:rPr>
              <w:t>Y</w:t>
            </w:r>
          </w:p>
        </w:tc>
        <w:tc>
          <w:tcPr>
            <w:tcW w:w="567" w:type="dxa"/>
            <w:tcBorders>
              <w:right w:val="double" w:sz="4" w:space="0" w:color="auto"/>
            </w:tcBorders>
          </w:tcPr>
          <w:p w14:paraId="35054C6F" w14:textId="77777777" w:rsidR="004D5431" w:rsidRPr="00901D5E" w:rsidRDefault="004D5431" w:rsidP="004D5431">
            <w:pPr>
              <w:spacing w:line="276" w:lineRule="auto"/>
              <w:rPr>
                <w:rFonts w:cs="Arial"/>
                <w:szCs w:val="24"/>
              </w:rPr>
            </w:pPr>
          </w:p>
        </w:tc>
      </w:tr>
      <w:tr w:rsidR="004D5431" w:rsidRPr="00901D5E" w14:paraId="76040A51" w14:textId="77777777" w:rsidTr="00445CEF">
        <w:trPr>
          <w:cantSplit/>
          <w:trHeight w:val="195"/>
        </w:trPr>
        <w:tc>
          <w:tcPr>
            <w:tcW w:w="12895" w:type="dxa"/>
          </w:tcPr>
          <w:p w14:paraId="0FD83E93" w14:textId="493A07E0" w:rsidR="004D5431" w:rsidRPr="00901D5E" w:rsidRDefault="004D5431" w:rsidP="004D5431">
            <w:pPr>
              <w:spacing w:after="80" w:line="259" w:lineRule="auto"/>
              <w:jc w:val="both"/>
              <w:rPr>
                <w:rFonts w:cs="Arial"/>
                <w:szCs w:val="24"/>
              </w:rPr>
            </w:pPr>
            <w:r w:rsidRPr="00B6618E">
              <w:rPr>
                <w:rFonts w:cs="Arial"/>
                <w:szCs w:val="24"/>
              </w:rPr>
              <w:t xml:space="preserve">Experience of advising senior leadership or boards </w:t>
            </w:r>
          </w:p>
        </w:tc>
        <w:tc>
          <w:tcPr>
            <w:tcW w:w="567" w:type="dxa"/>
            <w:tcBorders>
              <w:bottom w:val="single" w:sz="4" w:space="0" w:color="auto"/>
            </w:tcBorders>
          </w:tcPr>
          <w:p w14:paraId="75E5570E" w14:textId="3282069C" w:rsidR="004D5431" w:rsidRPr="00901D5E" w:rsidRDefault="004D5431" w:rsidP="004D5431">
            <w:pPr>
              <w:spacing w:line="276" w:lineRule="auto"/>
              <w:rPr>
                <w:rFonts w:cs="Arial"/>
                <w:szCs w:val="24"/>
              </w:rPr>
            </w:pPr>
            <w:r w:rsidRPr="00233585">
              <w:rPr>
                <w:rFonts w:cs="Arial"/>
                <w:szCs w:val="24"/>
              </w:rPr>
              <w:t>Y</w:t>
            </w:r>
          </w:p>
        </w:tc>
        <w:tc>
          <w:tcPr>
            <w:tcW w:w="567" w:type="dxa"/>
            <w:tcBorders>
              <w:bottom w:val="single" w:sz="4" w:space="0" w:color="auto"/>
              <w:right w:val="double" w:sz="4" w:space="0" w:color="auto"/>
            </w:tcBorders>
          </w:tcPr>
          <w:p w14:paraId="7A49A320" w14:textId="77777777" w:rsidR="004D5431" w:rsidRPr="00901D5E" w:rsidRDefault="004D5431" w:rsidP="004D5431">
            <w:pPr>
              <w:spacing w:line="276" w:lineRule="auto"/>
              <w:rPr>
                <w:rFonts w:cs="Arial"/>
                <w:szCs w:val="24"/>
              </w:rPr>
            </w:pPr>
          </w:p>
        </w:tc>
      </w:tr>
      <w:tr w:rsidR="004D5431" w:rsidRPr="00901D5E" w14:paraId="43A4C4C5" w14:textId="77777777" w:rsidTr="00445CEF">
        <w:trPr>
          <w:cantSplit/>
          <w:trHeight w:val="66"/>
        </w:trPr>
        <w:tc>
          <w:tcPr>
            <w:tcW w:w="12895" w:type="dxa"/>
          </w:tcPr>
          <w:p w14:paraId="140CC3D5" w14:textId="62CA838A" w:rsidR="004D5431" w:rsidRPr="00901D5E" w:rsidRDefault="004D5431" w:rsidP="004D5431">
            <w:pPr>
              <w:spacing w:after="80"/>
              <w:rPr>
                <w:rFonts w:cs="Arial"/>
                <w:szCs w:val="24"/>
              </w:rPr>
            </w:pPr>
            <w:r w:rsidRPr="00B6618E">
              <w:rPr>
                <w:rFonts w:cs="Arial"/>
                <w:szCs w:val="24"/>
              </w:rPr>
              <w:t>Excellent drafting, analytical and communication skills</w:t>
            </w:r>
          </w:p>
        </w:tc>
        <w:tc>
          <w:tcPr>
            <w:tcW w:w="567" w:type="dxa"/>
            <w:tcBorders>
              <w:bottom w:val="single" w:sz="4" w:space="0" w:color="auto"/>
            </w:tcBorders>
          </w:tcPr>
          <w:p w14:paraId="48C18657" w14:textId="41446C2F" w:rsidR="004D5431" w:rsidRPr="00901D5E" w:rsidRDefault="004D5431" w:rsidP="004D5431">
            <w:pPr>
              <w:spacing w:line="276" w:lineRule="auto"/>
              <w:rPr>
                <w:rFonts w:cs="Arial"/>
                <w:szCs w:val="24"/>
              </w:rPr>
            </w:pPr>
            <w:r w:rsidRPr="00233585">
              <w:rPr>
                <w:rFonts w:cs="Arial"/>
                <w:szCs w:val="24"/>
              </w:rPr>
              <w:t>Y</w:t>
            </w:r>
          </w:p>
        </w:tc>
        <w:tc>
          <w:tcPr>
            <w:tcW w:w="567" w:type="dxa"/>
            <w:tcBorders>
              <w:bottom w:val="single" w:sz="4" w:space="0" w:color="auto"/>
              <w:right w:val="double" w:sz="4" w:space="0" w:color="auto"/>
            </w:tcBorders>
          </w:tcPr>
          <w:p w14:paraId="434B87C7" w14:textId="77777777" w:rsidR="004D5431" w:rsidRPr="00901D5E" w:rsidRDefault="004D5431" w:rsidP="004D5431">
            <w:pPr>
              <w:spacing w:line="276" w:lineRule="auto"/>
              <w:rPr>
                <w:rFonts w:cs="Arial"/>
                <w:szCs w:val="24"/>
              </w:rPr>
            </w:pPr>
          </w:p>
        </w:tc>
      </w:tr>
      <w:tr w:rsidR="004D5431" w:rsidRPr="00901D5E" w14:paraId="7B159C9C" w14:textId="77777777" w:rsidTr="00445CEF">
        <w:trPr>
          <w:cantSplit/>
          <w:trHeight w:val="66"/>
        </w:trPr>
        <w:tc>
          <w:tcPr>
            <w:tcW w:w="12895" w:type="dxa"/>
          </w:tcPr>
          <w:p w14:paraId="231D8D7D" w14:textId="7A4F1C8D" w:rsidR="004D5431" w:rsidRPr="00901D5E" w:rsidRDefault="004D5431" w:rsidP="004D5431">
            <w:pPr>
              <w:pStyle w:val="Heading1"/>
              <w:spacing w:line="276" w:lineRule="auto"/>
              <w:rPr>
                <w:rFonts w:cs="Arial"/>
                <w:b w:val="0"/>
                <w:szCs w:val="24"/>
                <w:u w:val="none"/>
              </w:rPr>
            </w:pPr>
            <w:r w:rsidRPr="004D5431">
              <w:rPr>
                <w:rFonts w:cs="Arial"/>
                <w:b w:val="0"/>
                <w:szCs w:val="24"/>
                <w:u w:val="none"/>
              </w:rPr>
              <w:t>Ability to operate with independence, integrity, and sound judgement</w:t>
            </w:r>
          </w:p>
        </w:tc>
        <w:tc>
          <w:tcPr>
            <w:tcW w:w="567" w:type="dxa"/>
            <w:tcBorders>
              <w:bottom w:val="single" w:sz="4" w:space="0" w:color="auto"/>
            </w:tcBorders>
          </w:tcPr>
          <w:p w14:paraId="3FC9B8AC" w14:textId="78F714EC" w:rsidR="004D5431" w:rsidRPr="00901D5E" w:rsidRDefault="004D5431" w:rsidP="004D5431">
            <w:pPr>
              <w:spacing w:line="276" w:lineRule="auto"/>
              <w:rPr>
                <w:rFonts w:cs="Arial"/>
                <w:szCs w:val="24"/>
              </w:rPr>
            </w:pPr>
            <w:r w:rsidRPr="00233585">
              <w:rPr>
                <w:rFonts w:cs="Arial"/>
                <w:szCs w:val="24"/>
              </w:rPr>
              <w:t>Y</w:t>
            </w:r>
          </w:p>
        </w:tc>
        <w:tc>
          <w:tcPr>
            <w:tcW w:w="567" w:type="dxa"/>
            <w:tcBorders>
              <w:bottom w:val="single" w:sz="4" w:space="0" w:color="auto"/>
              <w:right w:val="double" w:sz="4" w:space="0" w:color="auto"/>
            </w:tcBorders>
          </w:tcPr>
          <w:p w14:paraId="38BE642B" w14:textId="5A23E1CD" w:rsidR="004D5431" w:rsidRPr="00901D5E" w:rsidRDefault="004D5431" w:rsidP="004D5431">
            <w:pPr>
              <w:spacing w:line="276" w:lineRule="auto"/>
              <w:rPr>
                <w:rFonts w:cs="Arial"/>
                <w:szCs w:val="24"/>
              </w:rPr>
            </w:pPr>
          </w:p>
        </w:tc>
      </w:tr>
      <w:tr w:rsidR="004D5431" w:rsidRPr="00901D5E" w14:paraId="0E040004" w14:textId="77777777" w:rsidTr="00445CEF">
        <w:trPr>
          <w:cantSplit/>
          <w:trHeight w:val="66"/>
        </w:trPr>
        <w:tc>
          <w:tcPr>
            <w:tcW w:w="12895" w:type="dxa"/>
          </w:tcPr>
          <w:p w14:paraId="07260875" w14:textId="7193CA6A" w:rsidR="004D5431" w:rsidRPr="00901D5E" w:rsidRDefault="004D5431" w:rsidP="004D5431">
            <w:pPr>
              <w:pStyle w:val="Heading1"/>
              <w:spacing w:line="276" w:lineRule="auto"/>
              <w:rPr>
                <w:rFonts w:cs="Arial"/>
                <w:b w:val="0"/>
                <w:szCs w:val="24"/>
                <w:u w:val="none"/>
              </w:rPr>
            </w:pPr>
            <w:r w:rsidRPr="004D5431">
              <w:rPr>
                <w:rFonts w:cs="Arial"/>
                <w:b w:val="0"/>
                <w:szCs w:val="24"/>
                <w:u w:val="none"/>
              </w:rPr>
              <w:t>Ability to work with senior leaders, governors, and external stakeholders</w:t>
            </w:r>
          </w:p>
        </w:tc>
        <w:tc>
          <w:tcPr>
            <w:tcW w:w="567" w:type="dxa"/>
            <w:tcBorders>
              <w:bottom w:val="single" w:sz="4" w:space="0" w:color="auto"/>
            </w:tcBorders>
          </w:tcPr>
          <w:p w14:paraId="591F26AD" w14:textId="39EA975F" w:rsidR="004D5431" w:rsidRPr="00901D5E" w:rsidRDefault="004D5431" w:rsidP="004D5431">
            <w:pPr>
              <w:spacing w:line="276" w:lineRule="auto"/>
              <w:rPr>
                <w:rFonts w:cs="Arial"/>
                <w:szCs w:val="24"/>
              </w:rPr>
            </w:pPr>
            <w:r w:rsidRPr="00233585">
              <w:rPr>
                <w:rFonts w:cs="Arial"/>
                <w:szCs w:val="24"/>
              </w:rPr>
              <w:t>Y</w:t>
            </w:r>
          </w:p>
        </w:tc>
        <w:tc>
          <w:tcPr>
            <w:tcW w:w="567" w:type="dxa"/>
            <w:tcBorders>
              <w:bottom w:val="single" w:sz="4" w:space="0" w:color="auto"/>
              <w:right w:val="double" w:sz="4" w:space="0" w:color="auto"/>
            </w:tcBorders>
          </w:tcPr>
          <w:p w14:paraId="1B1BA134" w14:textId="174B5A6C" w:rsidR="004D5431" w:rsidRPr="00901D5E" w:rsidRDefault="004D5431" w:rsidP="004D5431">
            <w:pPr>
              <w:spacing w:line="276" w:lineRule="auto"/>
              <w:rPr>
                <w:rFonts w:cs="Arial"/>
                <w:szCs w:val="24"/>
              </w:rPr>
            </w:pPr>
          </w:p>
        </w:tc>
      </w:tr>
      <w:tr w:rsidR="00C67138" w:rsidRPr="00901D5E" w14:paraId="316B8152" w14:textId="77777777" w:rsidTr="00445CEF">
        <w:trPr>
          <w:cantSplit/>
          <w:trHeight w:val="66"/>
        </w:trPr>
        <w:tc>
          <w:tcPr>
            <w:tcW w:w="12895" w:type="dxa"/>
          </w:tcPr>
          <w:p w14:paraId="4A814ECD" w14:textId="52A57347" w:rsidR="00C67138" w:rsidRPr="00901D5E" w:rsidRDefault="004D5431" w:rsidP="00322245">
            <w:pPr>
              <w:spacing w:line="276" w:lineRule="auto"/>
              <w:rPr>
                <w:rFonts w:cs="Arial"/>
                <w:szCs w:val="24"/>
              </w:rPr>
            </w:pPr>
            <w:r w:rsidRPr="004D5431">
              <w:rPr>
                <w:rFonts w:cs="Arial"/>
                <w:szCs w:val="24"/>
              </w:rPr>
              <w:t>Experience in the higher education or further education sector</w:t>
            </w:r>
          </w:p>
        </w:tc>
        <w:tc>
          <w:tcPr>
            <w:tcW w:w="567" w:type="dxa"/>
            <w:tcBorders>
              <w:bottom w:val="single" w:sz="4" w:space="0" w:color="auto"/>
            </w:tcBorders>
          </w:tcPr>
          <w:p w14:paraId="5DB8F4E6" w14:textId="77777777" w:rsidR="00C67138" w:rsidRPr="00901D5E" w:rsidRDefault="00C67138" w:rsidP="00322245">
            <w:pPr>
              <w:spacing w:line="276" w:lineRule="auto"/>
              <w:rPr>
                <w:rFonts w:cs="Arial"/>
                <w:szCs w:val="24"/>
              </w:rPr>
            </w:pPr>
          </w:p>
        </w:tc>
        <w:tc>
          <w:tcPr>
            <w:tcW w:w="567" w:type="dxa"/>
            <w:tcBorders>
              <w:bottom w:val="single" w:sz="4" w:space="0" w:color="auto"/>
              <w:right w:val="double" w:sz="4" w:space="0" w:color="auto"/>
            </w:tcBorders>
          </w:tcPr>
          <w:p w14:paraId="1B980103" w14:textId="30445EC9" w:rsidR="00C67138" w:rsidRPr="00901D5E" w:rsidRDefault="004D5431" w:rsidP="00322245">
            <w:pPr>
              <w:spacing w:line="276" w:lineRule="auto"/>
              <w:rPr>
                <w:rFonts w:cs="Arial"/>
                <w:szCs w:val="24"/>
              </w:rPr>
            </w:pPr>
            <w:r>
              <w:rPr>
                <w:rFonts w:cs="Arial"/>
                <w:szCs w:val="24"/>
              </w:rPr>
              <w:t>Y</w:t>
            </w:r>
          </w:p>
        </w:tc>
      </w:tr>
      <w:tr w:rsidR="004D5431" w:rsidRPr="00901D5E" w14:paraId="2B30ECAF" w14:textId="77777777" w:rsidTr="00445CEF">
        <w:trPr>
          <w:cantSplit/>
          <w:trHeight w:val="95"/>
        </w:trPr>
        <w:tc>
          <w:tcPr>
            <w:tcW w:w="12895" w:type="dxa"/>
          </w:tcPr>
          <w:p w14:paraId="5415670C" w14:textId="24D9C07E" w:rsidR="004D5431" w:rsidRPr="00901D5E" w:rsidRDefault="004D5431" w:rsidP="004D5431">
            <w:pPr>
              <w:spacing w:line="276" w:lineRule="auto"/>
              <w:rPr>
                <w:rFonts w:cs="Arial"/>
                <w:szCs w:val="24"/>
              </w:rPr>
            </w:pPr>
            <w:r w:rsidRPr="004D5431">
              <w:rPr>
                <w:rFonts w:cs="Arial"/>
                <w:szCs w:val="24"/>
              </w:rPr>
              <w:t>Experience supporting or advising a governing body</w:t>
            </w:r>
          </w:p>
        </w:tc>
        <w:tc>
          <w:tcPr>
            <w:tcW w:w="567" w:type="dxa"/>
            <w:tcBorders>
              <w:bottom w:val="single" w:sz="4" w:space="0" w:color="auto"/>
            </w:tcBorders>
          </w:tcPr>
          <w:p w14:paraId="541F2CC5" w14:textId="194595A1" w:rsidR="004D5431" w:rsidRPr="004D5431" w:rsidRDefault="004D5431" w:rsidP="004D5431">
            <w:pPr>
              <w:spacing w:line="276" w:lineRule="auto"/>
              <w:rPr>
                <w:rFonts w:cs="Arial"/>
                <w:i/>
                <w:szCs w:val="24"/>
              </w:rPr>
            </w:pPr>
          </w:p>
        </w:tc>
        <w:tc>
          <w:tcPr>
            <w:tcW w:w="567" w:type="dxa"/>
            <w:tcBorders>
              <w:bottom w:val="single" w:sz="4" w:space="0" w:color="auto"/>
              <w:right w:val="double" w:sz="4" w:space="0" w:color="auto"/>
            </w:tcBorders>
          </w:tcPr>
          <w:p w14:paraId="4B05739B" w14:textId="6BE980A1" w:rsidR="004D5431" w:rsidRPr="00901D5E" w:rsidRDefault="004D5431" w:rsidP="004D5431">
            <w:pPr>
              <w:spacing w:line="276" w:lineRule="auto"/>
              <w:rPr>
                <w:rFonts w:cs="Arial"/>
                <w:szCs w:val="24"/>
              </w:rPr>
            </w:pPr>
            <w:r w:rsidRPr="005903E8">
              <w:rPr>
                <w:rFonts w:cs="Arial"/>
                <w:szCs w:val="24"/>
              </w:rPr>
              <w:t>Y</w:t>
            </w:r>
          </w:p>
        </w:tc>
      </w:tr>
      <w:tr w:rsidR="004D5431" w:rsidRPr="00901D5E" w14:paraId="22285F12" w14:textId="77777777" w:rsidTr="00445CEF">
        <w:trPr>
          <w:cantSplit/>
          <w:trHeight w:val="95"/>
        </w:trPr>
        <w:tc>
          <w:tcPr>
            <w:tcW w:w="12895" w:type="dxa"/>
          </w:tcPr>
          <w:p w14:paraId="0EF4B438" w14:textId="7E388E9A" w:rsidR="004D5431" w:rsidRPr="00901D5E" w:rsidRDefault="004D5431" w:rsidP="004D5431">
            <w:pPr>
              <w:spacing w:line="276" w:lineRule="auto"/>
              <w:rPr>
                <w:rFonts w:cs="Arial"/>
                <w:szCs w:val="24"/>
              </w:rPr>
            </w:pPr>
            <w:r w:rsidRPr="004D5431">
              <w:rPr>
                <w:rFonts w:cs="Arial"/>
                <w:szCs w:val="24"/>
              </w:rPr>
              <w:t>Familiarity with Office for Students (</w:t>
            </w:r>
            <w:proofErr w:type="spellStart"/>
            <w:r w:rsidRPr="004D5431">
              <w:rPr>
                <w:rFonts w:cs="Arial"/>
                <w:szCs w:val="24"/>
              </w:rPr>
              <w:t>OfS</w:t>
            </w:r>
            <w:proofErr w:type="spellEnd"/>
            <w:r w:rsidRPr="004D5431">
              <w:rPr>
                <w:rFonts w:cs="Arial"/>
                <w:szCs w:val="24"/>
              </w:rPr>
              <w:t>) regulatory framework</w:t>
            </w:r>
          </w:p>
        </w:tc>
        <w:tc>
          <w:tcPr>
            <w:tcW w:w="567" w:type="dxa"/>
            <w:tcBorders>
              <w:bottom w:val="single" w:sz="4" w:space="0" w:color="auto"/>
            </w:tcBorders>
          </w:tcPr>
          <w:p w14:paraId="5CB27620" w14:textId="50AFB797" w:rsidR="004D5431" w:rsidRPr="004D5431" w:rsidRDefault="004D5431" w:rsidP="004D5431">
            <w:pPr>
              <w:spacing w:line="276" w:lineRule="auto"/>
              <w:rPr>
                <w:rFonts w:cs="Arial"/>
                <w:i/>
                <w:szCs w:val="24"/>
              </w:rPr>
            </w:pPr>
          </w:p>
        </w:tc>
        <w:tc>
          <w:tcPr>
            <w:tcW w:w="567" w:type="dxa"/>
            <w:tcBorders>
              <w:bottom w:val="single" w:sz="4" w:space="0" w:color="auto"/>
              <w:right w:val="double" w:sz="4" w:space="0" w:color="auto"/>
            </w:tcBorders>
          </w:tcPr>
          <w:p w14:paraId="456A82CA" w14:textId="77F8960C" w:rsidR="004D5431" w:rsidRPr="00901D5E" w:rsidRDefault="004D5431" w:rsidP="004D5431">
            <w:pPr>
              <w:spacing w:line="276" w:lineRule="auto"/>
              <w:rPr>
                <w:rFonts w:cs="Arial"/>
                <w:szCs w:val="24"/>
              </w:rPr>
            </w:pPr>
            <w:r w:rsidRPr="005903E8">
              <w:rPr>
                <w:rFonts w:cs="Arial"/>
                <w:szCs w:val="24"/>
              </w:rPr>
              <w:t>Y</w:t>
            </w:r>
          </w:p>
        </w:tc>
      </w:tr>
      <w:tr w:rsidR="004D5431" w:rsidRPr="00901D5E" w14:paraId="5FCCCB04" w14:textId="77777777" w:rsidTr="00445CEF">
        <w:trPr>
          <w:cantSplit/>
          <w:trHeight w:val="95"/>
        </w:trPr>
        <w:tc>
          <w:tcPr>
            <w:tcW w:w="12895" w:type="dxa"/>
          </w:tcPr>
          <w:p w14:paraId="01D3E74C" w14:textId="74370724" w:rsidR="004D5431" w:rsidRPr="00901D5E" w:rsidRDefault="004D5431" w:rsidP="004D5431">
            <w:pPr>
              <w:spacing w:line="276" w:lineRule="auto"/>
              <w:rPr>
                <w:rFonts w:cs="Arial"/>
                <w:szCs w:val="24"/>
              </w:rPr>
            </w:pPr>
            <w:r w:rsidRPr="004D5431">
              <w:rPr>
                <w:rFonts w:cs="Arial"/>
                <w:szCs w:val="24"/>
              </w:rPr>
              <w:t>Experience of company secretarial or board governance roles</w:t>
            </w:r>
          </w:p>
        </w:tc>
        <w:tc>
          <w:tcPr>
            <w:tcW w:w="567" w:type="dxa"/>
            <w:tcBorders>
              <w:bottom w:val="single" w:sz="4" w:space="0" w:color="auto"/>
            </w:tcBorders>
          </w:tcPr>
          <w:p w14:paraId="395CF31A" w14:textId="5B015F43" w:rsidR="004D5431" w:rsidRPr="004D5431" w:rsidRDefault="004D5431" w:rsidP="004D5431">
            <w:pPr>
              <w:spacing w:line="276" w:lineRule="auto"/>
              <w:rPr>
                <w:rFonts w:cs="Arial"/>
                <w:i/>
                <w:szCs w:val="24"/>
              </w:rPr>
            </w:pPr>
          </w:p>
        </w:tc>
        <w:tc>
          <w:tcPr>
            <w:tcW w:w="567" w:type="dxa"/>
            <w:tcBorders>
              <w:bottom w:val="single" w:sz="4" w:space="0" w:color="auto"/>
              <w:right w:val="double" w:sz="4" w:space="0" w:color="auto"/>
            </w:tcBorders>
          </w:tcPr>
          <w:p w14:paraId="3DE6F188" w14:textId="16A14A6A" w:rsidR="004D5431" w:rsidRPr="00901D5E" w:rsidRDefault="004D5431" w:rsidP="004D5431">
            <w:pPr>
              <w:spacing w:line="276" w:lineRule="auto"/>
              <w:rPr>
                <w:rFonts w:cs="Arial"/>
                <w:szCs w:val="24"/>
              </w:rPr>
            </w:pPr>
            <w:r w:rsidRPr="005903E8">
              <w:rPr>
                <w:rFonts w:cs="Arial"/>
                <w:szCs w:val="24"/>
              </w:rPr>
              <w:t>Y</w:t>
            </w:r>
          </w:p>
        </w:tc>
      </w:tr>
      <w:tr w:rsidR="004D5431" w:rsidRPr="00901D5E" w14:paraId="3FB443C9" w14:textId="77777777" w:rsidTr="00445CEF">
        <w:trPr>
          <w:cantSplit/>
          <w:trHeight w:val="95"/>
        </w:trPr>
        <w:tc>
          <w:tcPr>
            <w:tcW w:w="12895" w:type="dxa"/>
          </w:tcPr>
          <w:p w14:paraId="4E9545C6" w14:textId="7C9AECAA" w:rsidR="004D5431" w:rsidRPr="00901D5E" w:rsidRDefault="004D5431" w:rsidP="004D5431">
            <w:pPr>
              <w:spacing w:line="276" w:lineRule="auto"/>
              <w:rPr>
                <w:rFonts w:cs="Arial"/>
                <w:szCs w:val="24"/>
              </w:rPr>
            </w:pPr>
            <w:r w:rsidRPr="004D5431">
              <w:rPr>
                <w:rFonts w:cs="Arial"/>
                <w:szCs w:val="24"/>
              </w:rPr>
              <w:t>Experience in health &amp; safety compliance or regulatory assurance</w:t>
            </w:r>
          </w:p>
        </w:tc>
        <w:tc>
          <w:tcPr>
            <w:tcW w:w="567" w:type="dxa"/>
            <w:tcBorders>
              <w:bottom w:val="single" w:sz="4" w:space="0" w:color="auto"/>
            </w:tcBorders>
          </w:tcPr>
          <w:p w14:paraId="4FA2974B" w14:textId="3272D8C0" w:rsidR="004D5431" w:rsidRPr="00901D5E" w:rsidRDefault="004D5431" w:rsidP="004D5431">
            <w:pPr>
              <w:spacing w:line="276" w:lineRule="auto"/>
              <w:rPr>
                <w:rFonts w:cs="Arial"/>
                <w:szCs w:val="24"/>
              </w:rPr>
            </w:pPr>
          </w:p>
        </w:tc>
        <w:tc>
          <w:tcPr>
            <w:tcW w:w="567" w:type="dxa"/>
            <w:tcBorders>
              <w:bottom w:val="single" w:sz="4" w:space="0" w:color="auto"/>
              <w:right w:val="double" w:sz="4" w:space="0" w:color="auto"/>
            </w:tcBorders>
          </w:tcPr>
          <w:p w14:paraId="2B92F456" w14:textId="44B08851" w:rsidR="004D5431" w:rsidRPr="00901D5E" w:rsidRDefault="004D5431" w:rsidP="004D5431">
            <w:pPr>
              <w:spacing w:line="276" w:lineRule="auto"/>
              <w:rPr>
                <w:rFonts w:cs="Arial"/>
                <w:szCs w:val="24"/>
              </w:rPr>
            </w:pPr>
            <w:r w:rsidRPr="005903E8">
              <w:rPr>
                <w:rFonts w:cs="Arial"/>
                <w:szCs w:val="24"/>
              </w:rPr>
              <w:t>Y</w:t>
            </w:r>
          </w:p>
        </w:tc>
      </w:tr>
      <w:tr w:rsidR="00C67138" w:rsidRPr="00901D5E" w14:paraId="3B1E1E2E" w14:textId="77777777" w:rsidTr="00445CEF">
        <w:trPr>
          <w:cantSplit/>
          <w:trHeight w:val="95"/>
        </w:trPr>
        <w:tc>
          <w:tcPr>
            <w:tcW w:w="12895" w:type="dxa"/>
          </w:tcPr>
          <w:p w14:paraId="019946DF" w14:textId="436A7407" w:rsidR="00C67138" w:rsidRPr="00901D5E" w:rsidRDefault="004D5431" w:rsidP="004D5431">
            <w:pPr>
              <w:spacing w:after="80" w:line="259" w:lineRule="auto"/>
              <w:jc w:val="both"/>
              <w:rPr>
                <w:rFonts w:cs="Arial"/>
                <w:szCs w:val="24"/>
              </w:rPr>
            </w:pPr>
            <w:r w:rsidRPr="00043A5C">
              <w:rPr>
                <w:rFonts w:cs="Arial"/>
                <w:szCs w:val="24"/>
              </w:rPr>
              <w:t>Knowledge of charity law and experience of subsidiary structures</w:t>
            </w:r>
          </w:p>
        </w:tc>
        <w:tc>
          <w:tcPr>
            <w:tcW w:w="567" w:type="dxa"/>
            <w:tcBorders>
              <w:bottom w:val="single" w:sz="4" w:space="0" w:color="auto"/>
            </w:tcBorders>
          </w:tcPr>
          <w:p w14:paraId="70408C1C" w14:textId="33045E99" w:rsidR="00C67138" w:rsidRPr="00901D5E" w:rsidRDefault="00C67138" w:rsidP="00322245">
            <w:pPr>
              <w:spacing w:line="276" w:lineRule="auto"/>
              <w:rPr>
                <w:rFonts w:cs="Arial"/>
                <w:szCs w:val="24"/>
              </w:rPr>
            </w:pPr>
          </w:p>
        </w:tc>
        <w:tc>
          <w:tcPr>
            <w:tcW w:w="567" w:type="dxa"/>
            <w:tcBorders>
              <w:bottom w:val="single" w:sz="4" w:space="0" w:color="auto"/>
              <w:right w:val="double" w:sz="4" w:space="0" w:color="auto"/>
            </w:tcBorders>
          </w:tcPr>
          <w:p w14:paraId="774C09BA" w14:textId="65F1F9E5" w:rsidR="00C67138" w:rsidRPr="00901D5E" w:rsidRDefault="004D5431" w:rsidP="00322245">
            <w:pPr>
              <w:spacing w:line="276" w:lineRule="auto"/>
              <w:rPr>
                <w:rFonts w:cs="Arial"/>
                <w:szCs w:val="24"/>
              </w:rPr>
            </w:pPr>
            <w:r>
              <w:rPr>
                <w:rFonts w:cs="Arial"/>
                <w:szCs w:val="24"/>
              </w:rPr>
              <w:t>Y</w:t>
            </w:r>
          </w:p>
        </w:tc>
      </w:tr>
      <w:tr w:rsidR="00C67138" w:rsidRPr="00901D5E" w14:paraId="4C7E4614" w14:textId="77777777" w:rsidTr="00445CEF">
        <w:trPr>
          <w:cantSplit/>
          <w:trHeight w:val="95"/>
        </w:trPr>
        <w:tc>
          <w:tcPr>
            <w:tcW w:w="12895" w:type="dxa"/>
          </w:tcPr>
          <w:p w14:paraId="0D789D0F" w14:textId="38232187" w:rsidR="00C67138" w:rsidRPr="00901D5E" w:rsidRDefault="004D5431" w:rsidP="004D5431">
            <w:pPr>
              <w:rPr>
                <w:rFonts w:cs="Arial"/>
                <w:szCs w:val="24"/>
              </w:rPr>
            </w:pPr>
            <w:r w:rsidRPr="00B6618E">
              <w:rPr>
                <w:rFonts w:cs="Arial"/>
                <w:b/>
                <w:bCs/>
                <w:szCs w:val="24"/>
              </w:rPr>
              <w:t>Personal Attributes</w:t>
            </w:r>
          </w:p>
        </w:tc>
        <w:tc>
          <w:tcPr>
            <w:tcW w:w="567" w:type="dxa"/>
            <w:tcBorders>
              <w:bottom w:val="single" w:sz="4" w:space="0" w:color="auto"/>
            </w:tcBorders>
          </w:tcPr>
          <w:p w14:paraId="672E13D3" w14:textId="31770E87" w:rsidR="00C67138" w:rsidRPr="00901D5E" w:rsidRDefault="00C67138" w:rsidP="00322245">
            <w:pPr>
              <w:spacing w:line="276" w:lineRule="auto"/>
              <w:rPr>
                <w:rFonts w:cs="Arial"/>
                <w:szCs w:val="24"/>
              </w:rPr>
            </w:pPr>
          </w:p>
        </w:tc>
        <w:tc>
          <w:tcPr>
            <w:tcW w:w="567" w:type="dxa"/>
            <w:tcBorders>
              <w:bottom w:val="single" w:sz="4" w:space="0" w:color="auto"/>
              <w:right w:val="double" w:sz="4" w:space="0" w:color="auto"/>
            </w:tcBorders>
          </w:tcPr>
          <w:p w14:paraId="6DBB7B83" w14:textId="77777777" w:rsidR="00C67138" w:rsidRPr="00901D5E" w:rsidRDefault="00C67138" w:rsidP="00322245">
            <w:pPr>
              <w:spacing w:line="276" w:lineRule="auto"/>
              <w:rPr>
                <w:rFonts w:cs="Arial"/>
                <w:szCs w:val="24"/>
              </w:rPr>
            </w:pPr>
          </w:p>
        </w:tc>
      </w:tr>
      <w:tr w:rsidR="00C67138" w:rsidRPr="00901D5E" w14:paraId="38FDA3AA" w14:textId="77777777" w:rsidTr="00C73BE3">
        <w:trPr>
          <w:cantSplit/>
          <w:trHeight w:val="95"/>
        </w:trPr>
        <w:tc>
          <w:tcPr>
            <w:tcW w:w="12895" w:type="dxa"/>
          </w:tcPr>
          <w:p w14:paraId="23533FEA" w14:textId="300C6305" w:rsidR="00C67138" w:rsidRPr="00901D5E" w:rsidRDefault="00C73BE3" w:rsidP="00C73BE3">
            <w:pPr>
              <w:spacing w:after="80" w:line="259" w:lineRule="auto"/>
              <w:jc w:val="both"/>
              <w:rPr>
                <w:rFonts w:cs="Arial"/>
                <w:szCs w:val="24"/>
              </w:rPr>
            </w:pPr>
            <w:r>
              <w:rPr>
                <w:rFonts w:cs="Arial"/>
                <w:szCs w:val="24"/>
              </w:rPr>
              <w:t>H</w:t>
            </w:r>
            <w:r w:rsidRPr="00B6618E">
              <w:rPr>
                <w:rFonts w:cs="Arial"/>
                <w:szCs w:val="24"/>
              </w:rPr>
              <w:t>igh levels of discretion and professionalism</w:t>
            </w:r>
          </w:p>
        </w:tc>
        <w:tc>
          <w:tcPr>
            <w:tcW w:w="567" w:type="dxa"/>
          </w:tcPr>
          <w:p w14:paraId="4BC7B4E5" w14:textId="663F84BD" w:rsidR="00C67138" w:rsidRPr="00901D5E" w:rsidRDefault="00C73BE3" w:rsidP="00322245">
            <w:pPr>
              <w:spacing w:line="276" w:lineRule="auto"/>
              <w:rPr>
                <w:rFonts w:cs="Arial"/>
                <w:szCs w:val="24"/>
              </w:rPr>
            </w:pPr>
            <w:r>
              <w:rPr>
                <w:rFonts w:cs="Arial"/>
                <w:szCs w:val="24"/>
              </w:rPr>
              <w:t>Y</w:t>
            </w:r>
          </w:p>
        </w:tc>
        <w:tc>
          <w:tcPr>
            <w:tcW w:w="567" w:type="dxa"/>
            <w:tcBorders>
              <w:right w:val="double" w:sz="4" w:space="0" w:color="auto"/>
            </w:tcBorders>
          </w:tcPr>
          <w:p w14:paraId="47739A92" w14:textId="0A4ED08E" w:rsidR="00C67138" w:rsidRPr="00901D5E" w:rsidRDefault="00C67138" w:rsidP="00322245">
            <w:pPr>
              <w:spacing w:line="276" w:lineRule="auto"/>
              <w:rPr>
                <w:rFonts w:cs="Arial"/>
                <w:szCs w:val="24"/>
              </w:rPr>
            </w:pPr>
          </w:p>
        </w:tc>
      </w:tr>
      <w:tr w:rsidR="00C73BE3" w:rsidRPr="00901D5E" w14:paraId="792C52F3" w14:textId="77777777" w:rsidTr="00C73BE3">
        <w:trPr>
          <w:cantSplit/>
          <w:trHeight w:val="95"/>
        </w:trPr>
        <w:tc>
          <w:tcPr>
            <w:tcW w:w="12895" w:type="dxa"/>
          </w:tcPr>
          <w:p w14:paraId="5F342DBC" w14:textId="0C807EA5" w:rsidR="00C73BE3" w:rsidRPr="00901D5E" w:rsidRDefault="00C73BE3" w:rsidP="00C73BE3">
            <w:pPr>
              <w:spacing w:after="80" w:line="259" w:lineRule="auto"/>
              <w:jc w:val="both"/>
              <w:rPr>
                <w:rFonts w:cs="Arial"/>
                <w:szCs w:val="24"/>
              </w:rPr>
            </w:pPr>
            <w:r w:rsidRPr="00B6618E">
              <w:rPr>
                <w:rFonts w:cs="Arial"/>
                <w:szCs w:val="24"/>
              </w:rPr>
              <w:t>Strong interpersonal skills with the ability to influence at senior level</w:t>
            </w:r>
          </w:p>
        </w:tc>
        <w:tc>
          <w:tcPr>
            <w:tcW w:w="567" w:type="dxa"/>
          </w:tcPr>
          <w:p w14:paraId="6FCB7204" w14:textId="3C141034" w:rsidR="00C73BE3" w:rsidRPr="00901D5E" w:rsidRDefault="00C73BE3" w:rsidP="00C73BE3">
            <w:pPr>
              <w:spacing w:line="276" w:lineRule="auto"/>
              <w:rPr>
                <w:rFonts w:cs="Arial"/>
                <w:szCs w:val="24"/>
              </w:rPr>
            </w:pPr>
            <w:r w:rsidRPr="00C72D99">
              <w:rPr>
                <w:rFonts w:cs="Arial"/>
                <w:szCs w:val="24"/>
              </w:rPr>
              <w:t>Y</w:t>
            </w:r>
          </w:p>
        </w:tc>
        <w:tc>
          <w:tcPr>
            <w:tcW w:w="567" w:type="dxa"/>
            <w:tcBorders>
              <w:right w:val="double" w:sz="4" w:space="0" w:color="auto"/>
            </w:tcBorders>
          </w:tcPr>
          <w:p w14:paraId="6AE1F2CB" w14:textId="77777777" w:rsidR="00C73BE3" w:rsidRPr="00901D5E" w:rsidRDefault="00C73BE3" w:rsidP="00C73BE3">
            <w:pPr>
              <w:spacing w:line="276" w:lineRule="auto"/>
              <w:rPr>
                <w:rFonts w:cs="Arial"/>
                <w:szCs w:val="24"/>
              </w:rPr>
            </w:pPr>
          </w:p>
        </w:tc>
      </w:tr>
      <w:tr w:rsidR="00C73BE3" w:rsidRPr="00901D5E" w14:paraId="3E330B67" w14:textId="77777777" w:rsidTr="00C73BE3">
        <w:trPr>
          <w:cantSplit/>
          <w:trHeight w:val="95"/>
        </w:trPr>
        <w:tc>
          <w:tcPr>
            <w:tcW w:w="12895" w:type="dxa"/>
          </w:tcPr>
          <w:p w14:paraId="6607D0F1" w14:textId="50E5A071" w:rsidR="00C73BE3" w:rsidRPr="00901D5E" w:rsidRDefault="00C73BE3" w:rsidP="00C73BE3">
            <w:pPr>
              <w:spacing w:line="276" w:lineRule="auto"/>
              <w:rPr>
                <w:rFonts w:cs="Arial"/>
                <w:szCs w:val="24"/>
              </w:rPr>
            </w:pPr>
            <w:r w:rsidRPr="00C73BE3">
              <w:rPr>
                <w:rFonts w:cs="Arial"/>
                <w:szCs w:val="24"/>
              </w:rPr>
              <w:t>Organised, detail-oriented, and able to manage competing priorities</w:t>
            </w:r>
          </w:p>
        </w:tc>
        <w:tc>
          <w:tcPr>
            <w:tcW w:w="567" w:type="dxa"/>
          </w:tcPr>
          <w:p w14:paraId="54E79F5E" w14:textId="68BE6930" w:rsidR="00C73BE3" w:rsidRPr="00901D5E" w:rsidRDefault="00C73BE3" w:rsidP="00C73BE3">
            <w:pPr>
              <w:spacing w:line="276" w:lineRule="auto"/>
              <w:rPr>
                <w:rFonts w:cs="Arial"/>
                <w:szCs w:val="24"/>
              </w:rPr>
            </w:pPr>
            <w:r w:rsidRPr="00C72D99">
              <w:rPr>
                <w:rFonts w:cs="Arial"/>
                <w:szCs w:val="24"/>
              </w:rPr>
              <w:t>Y</w:t>
            </w:r>
          </w:p>
        </w:tc>
        <w:tc>
          <w:tcPr>
            <w:tcW w:w="567" w:type="dxa"/>
            <w:tcBorders>
              <w:right w:val="double" w:sz="4" w:space="0" w:color="auto"/>
            </w:tcBorders>
          </w:tcPr>
          <w:p w14:paraId="54D9AF9D" w14:textId="77777777" w:rsidR="00C73BE3" w:rsidRPr="00901D5E" w:rsidRDefault="00C73BE3" w:rsidP="00C73BE3">
            <w:pPr>
              <w:spacing w:line="276" w:lineRule="auto"/>
              <w:rPr>
                <w:rFonts w:cs="Arial"/>
                <w:szCs w:val="24"/>
              </w:rPr>
            </w:pPr>
          </w:p>
        </w:tc>
      </w:tr>
      <w:tr w:rsidR="00C73BE3" w:rsidRPr="00901D5E" w14:paraId="0E9A68A3" w14:textId="77777777" w:rsidTr="00445CEF">
        <w:trPr>
          <w:cantSplit/>
          <w:trHeight w:val="95"/>
        </w:trPr>
        <w:tc>
          <w:tcPr>
            <w:tcW w:w="12895" w:type="dxa"/>
          </w:tcPr>
          <w:p w14:paraId="7554B26F" w14:textId="4BC08FA2" w:rsidR="00C73BE3" w:rsidRPr="00901D5E" w:rsidRDefault="00C73BE3" w:rsidP="00C73BE3">
            <w:pPr>
              <w:spacing w:line="276" w:lineRule="auto"/>
              <w:rPr>
                <w:rFonts w:cs="Arial"/>
                <w:szCs w:val="24"/>
              </w:rPr>
            </w:pPr>
            <w:r w:rsidRPr="00C73BE3">
              <w:rPr>
                <w:rFonts w:cs="Arial"/>
                <w:szCs w:val="24"/>
              </w:rPr>
              <w:t>Commitment to the values and mission of a specialist arts institution</w:t>
            </w:r>
          </w:p>
        </w:tc>
        <w:tc>
          <w:tcPr>
            <w:tcW w:w="567" w:type="dxa"/>
            <w:tcBorders>
              <w:bottom w:val="single" w:sz="4" w:space="0" w:color="auto"/>
            </w:tcBorders>
          </w:tcPr>
          <w:p w14:paraId="4D4E4C00" w14:textId="6BD64F85" w:rsidR="00C73BE3" w:rsidRPr="00901D5E" w:rsidRDefault="00C73BE3" w:rsidP="00C73BE3">
            <w:pPr>
              <w:spacing w:line="276" w:lineRule="auto"/>
              <w:rPr>
                <w:rFonts w:cs="Arial"/>
                <w:szCs w:val="24"/>
              </w:rPr>
            </w:pPr>
            <w:r w:rsidRPr="00C72D99">
              <w:rPr>
                <w:rFonts w:cs="Arial"/>
                <w:szCs w:val="24"/>
              </w:rPr>
              <w:t>Y</w:t>
            </w:r>
          </w:p>
        </w:tc>
        <w:tc>
          <w:tcPr>
            <w:tcW w:w="567" w:type="dxa"/>
            <w:tcBorders>
              <w:bottom w:val="single" w:sz="4" w:space="0" w:color="auto"/>
              <w:right w:val="double" w:sz="4" w:space="0" w:color="auto"/>
            </w:tcBorders>
          </w:tcPr>
          <w:p w14:paraId="4FC6899F" w14:textId="77777777" w:rsidR="00C73BE3" w:rsidRPr="00901D5E" w:rsidRDefault="00C73BE3" w:rsidP="00C73BE3">
            <w:pPr>
              <w:spacing w:line="276" w:lineRule="auto"/>
              <w:rPr>
                <w:rFonts w:cs="Arial"/>
                <w:szCs w:val="24"/>
              </w:rPr>
            </w:pPr>
          </w:p>
        </w:tc>
      </w:tr>
    </w:tbl>
    <w:p w14:paraId="75C7DE5E" w14:textId="77777777" w:rsidR="00C67138" w:rsidRPr="00901D5E" w:rsidRDefault="00C67138" w:rsidP="00322245">
      <w:pPr>
        <w:spacing w:line="276" w:lineRule="auto"/>
        <w:rPr>
          <w:rFonts w:cs="Arial"/>
          <w:szCs w:val="24"/>
        </w:rPr>
      </w:pPr>
    </w:p>
    <w:sectPr w:rsidR="00C67138" w:rsidRPr="00901D5E" w:rsidSect="00C67138">
      <w:footerReference w:type="default" r:id="rId13"/>
      <w:pgSz w:w="16840" w:h="11907" w:orient="landscape" w:code="9"/>
      <w:pgMar w:top="-3" w:right="1440" w:bottom="4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Aptos">
    <w:altName w:val="Calibri"/>
    <w:charset w:val="00"/>
    <w:family w:val="auto"/>
    <w:pitch w:val="default"/>
  </w:font>
  <w:font w:name="Proxima Nova Rg">
    <w:altName w:val="Tahoma"/>
    <w:panose1 w:val="00000000000000000000"/>
    <w:charset w:val="4D"/>
    <w:family w:val="auto"/>
    <w:notTrueType/>
    <w:pitch w:val="variable"/>
    <w:sig w:usb0="800000AF"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1F95" w14:textId="77777777" w:rsidR="00322245" w:rsidRPr="009F0D99" w:rsidRDefault="00322245">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7EBE" w14:textId="77777777" w:rsidR="00322245" w:rsidRDefault="00322245" w:rsidP="003B5069">
    <w:pPr>
      <w:pStyle w:val="Header"/>
      <w:tabs>
        <w:tab w:val="clear" w:pos="4153"/>
        <w:tab w:val="clear" w:pos="8306"/>
        <w:tab w:val="left" w:pos="3315"/>
      </w:tabs>
    </w:pPr>
    <w:bookmarkStart w:id="1" w:name="_Hlk172193006"/>
  </w:p>
  <w:p w14:paraId="7691012F" w14:textId="77777777" w:rsidR="00322245" w:rsidRDefault="00322245" w:rsidP="003B5069">
    <w:pPr>
      <w:pStyle w:val="Header"/>
      <w:tabs>
        <w:tab w:val="clear" w:pos="4153"/>
        <w:tab w:val="clear" w:pos="8306"/>
        <w:tab w:val="left" w:pos="3315"/>
      </w:tabs>
    </w:pPr>
  </w:p>
  <w:bookmarkEnd w:id="1"/>
  <w:p w14:paraId="33E750D3" w14:textId="77777777" w:rsidR="00322245" w:rsidRDefault="00322245"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4F92" w14:textId="77777777" w:rsidR="00322245" w:rsidRPr="003B5069" w:rsidRDefault="00322245"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65882418" wp14:editId="32DDA5BB">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4AA783C2" w14:textId="77777777" w:rsidR="00322245" w:rsidRDefault="00322245" w:rsidP="009916A1">
    <w:pPr>
      <w:pStyle w:val="Header"/>
      <w:tabs>
        <w:tab w:val="clear" w:pos="4153"/>
        <w:tab w:val="clear" w:pos="8306"/>
        <w:tab w:val="left" w:pos="3315"/>
      </w:tabs>
    </w:pPr>
    <w:r>
      <w:tab/>
    </w:r>
  </w:p>
  <w:p w14:paraId="17767CA6" w14:textId="77777777" w:rsidR="00322245" w:rsidRDefault="00322245" w:rsidP="009916A1">
    <w:pPr>
      <w:pStyle w:val="Header"/>
      <w:tabs>
        <w:tab w:val="clear" w:pos="4153"/>
        <w:tab w:val="clear" w:pos="8306"/>
        <w:tab w:val="left" w:pos="3315"/>
      </w:tabs>
    </w:pPr>
  </w:p>
  <w:p w14:paraId="3798B79C" w14:textId="77777777" w:rsidR="00322245" w:rsidRDefault="00322245" w:rsidP="009916A1">
    <w:pPr>
      <w:pStyle w:val="Header"/>
      <w:tabs>
        <w:tab w:val="clear" w:pos="4153"/>
        <w:tab w:val="clear" w:pos="8306"/>
        <w:tab w:val="left" w:pos="3315"/>
      </w:tabs>
      <w:ind w:firstLine="720"/>
    </w:pPr>
  </w:p>
  <w:p w14:paraId="78C8A433" w14:textId="77777777" w:rsidR="00322245" w:rsidRDefault="00322245" w:rsidP="009916A1">
    <w:pPr>
      <w:pStyle w:val="Header"/>
      <w:tabs>
        <w:tab w:val="clear" w:pos="4153"/>
        <w:tab w:val="clear" w:pos="8306"/>
        <w:tab w:val="left" w:pos="3315"/>
      </w:tabs>
    </w:pPr>
  </w:p>
  <w:p w14:paraId="44503223" w14:textId="77777777" w:rsidR="00322245" w:rsidRDefault="00322245" w:rsidP="009916A1">
    <w:pPr>
      <w:pStyle w:val="Header"/>
      <w:tabs>
        <w:tab w:val="clear" w:pos="4153"/>
        <w:tab w:val="clear" w:pos="8306"/>
        <w:tab w:val="left" w:pos="3315"/>
      </w:tabs>
    </w:pPr>
  </w:p>
  <w:p w14:paraId="53A03B0F" w14:textId="77777777" w:rsidR="00322245" w:rsidRDefault="00322245" w:rsidP="009916A1">
    <w:pPr>
      <w:pStyle w:val="Header"/>
      <w:tabs>
        <w:tab w:val="clear" w:pos="4153"/>
        <w:tab w:val="clear" w:pos="8306"/>
        <w:tab w:val="left" w:pos="3315"/>
      </w:tabs>
    </w:pPr>
  </w:p>
  <w:p w14:paraId="4506A031" w14:textId="77777777" w:rsidR="00322245" w:rsidRDefault="00322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17F05"/>
    <w:multiLevelType w:val="multilevel"/>
    <w:tmpl w:val="702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F6090"/>
    <w:multiLevelType w:val="multilevel"/>
    <w:tmpl w:val="7BFA818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D28FF"/>
    <w:multiLevelType w:val="multilevel"/>
    <w:tmpl w:val="0D5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9" w15:restartNumberingAfterBreak="0">
    <w:nsid w:val="2C0B5F85"/>
    <w:multiLevelType w:val="multilevel"/>
    <w:tmpl w:val="970A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D14DA"/>
    <w:multiLevelType w:val="multilevel"/>
    <w:tmpl w:val="25825E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910CBF"/>
    <w:multiLevelType w:val="multilevel"/>
    <w:tmpl w:val="3858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344C2F"/>
    <w:multiLevelType w:val="multilevel"/>
    <w:tmpl w:val="FA7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D51BA"/>
    <w:multiLevelType w:val="multilevel"/>
    <w:tmpl w:val="0A4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CE44D5"/>
    <w:multiLevelType w:val="multilevel"/>
    <w:tmpl w:val="E4E8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ED2D39"/>
    <w:multiLevelType w:val="multilevel"/>
    <w:tmpl w:val="512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E9302E"/>
    <w:multiLevelType w:val="multilevel"/>
    <w:tmpl w:val="1C8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972766"/>
    <w:multiLevelType w:val="hybridMultilevel"/>
    <w:tmpl w:val="4A866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4"/>
  </w:num>
  <w:num w:numId="3">
    <w:abstractNumId w:val="18"/>
  </w:num>
  <w:num w:numId="4">
    <w:abstractNumId w:val="32"/>
  </w:num>
  <w:num w:numId="5">
    <w:abstractNumId w:val="11"/>
  </w:num>
  <w:num w:numId="6">
    <w:abstractNumId w:val="28"/>
  </w:num>
  <w:num w:numId="7">
    <w:abstractNumId w:val="26"/>
  </w:num>
  <w:num w:numId="8">
    <w:abstractNumId w:val="31"/>
  </w:num>
  <w:num w:numId="9">
    <w:abstractNumId w:val="33"/>
  </w:num>
  <w:num w:numId="10">
    <w:abstractNumId w:val="34"/>
  </w:num>
  <w:num w:numId="11">
    <w:abstractNumId w:val="25"/>
  </w:num>
  <w:num w:numId="12">
    <w:abstractNumId w:val="14"/>
  </w:num>
  <w:num w:numId="13">
    <w:abstractNumId w:val="35"/>
  </w:num>
  <w:num w:numId="14">
    <w:abstractNumId w:val="29"/>
  </w:num>
  <w:num w:numId="15">
    <w:abstractNumId w:val="0"/>
  </w:num>
  <w:num w:numId="16">
    <w:abstractNumId w:val="13"/>
  </w:num>
  <w:num w:numId="17">
    <w:abstractNumId w:val="21"/>
  </w:num>
  <w:num w:numId="18">
    <w:abstractNumId w:val="8"/>
  </w:num>
  <w:num w:numId="19">
    <w:abstractNumId w:val="2"/>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27"/>
  </w:num>
  <w:num w:numId="23">
    <w:abstractNumId w:val="6"/>
  </w:num>
  <w:num w:numId="24">
    <w:abstractNumId w:val="36"/>
  </w:num>
  <w:num w:numId="25">
    <w:abstractNumId w:val="23"/>
  </w:num>
  <w:num w:numId="26">
    <w:abstractNumId w:val="20"/>
  </w:num>
  <w:num w:numId="27">
    <w:abstractNumId w:val="30"/>
  </w:num>
  <w:num w:numId="28">
    <w:abstractNumId w:val="19"/>
  </w:num>
  <w:num w:numId="29">
    <w:abstractNumId w:val="12"/>
  </w:num>
  <w:num w:numId="30">
    <w:abstractNumId w:val="16"/>
  </w:num>
  <w:num w:numId="31">
    <w:abstractNumId w:val="7"/>
  </w:num>
  <w:num w:numId="32">
    <w:abstractNumId w:val="9"/>
  </w:num>
  <w:num w:numId="33">
    <w:abstractNumId w:val="15"/>
  </w:num>
  <w:num w:numId="34">
    <w:abstractNumId w:val="3"/>
  </w:num>
  <w:num w:numId="35">
    <w:abstractNumId w:val="24"/>
  </w:num>
  <w:num w:numId="36">
    <w:abstractNumId w:val="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70CC9"/>
    <w:rsid w:val="00093817"/>
    <w:rsid w:val="000956B1"/>
    <w:rsid w:val="00096DAB"/>
    <w:rsid w:val="000C5409"/>
    <w:rsid w:val="000D0654"/>
    <w:rsid w:val="001330AB"/>
    <w:rsid w:val="00144976"/>
    <w:rsid w:val="00145C41"/>
    <w:rsid w:val="0015374E"/>
    <w:rsid w:val="00156181"/>
    <w:rsid w:val="001C7583"/>
    <w:rsid w:val="002240C6"/>
    <w:rsid w:val="002263C3"/>
    <w:rsid w:val="002A161E"/>
    <w:rsid w:val="00310CCC"/>
    <w:rsid w:val="00322245"/>
    <w:rsid w:val="00327202"/>
    <w:rsid w:val="0035798B"/>
    <w:rsid w:val="00367755"/>
    <w:rsid w:val="003823CD"/>
    <w:rsid w:val="003B5069"/>
    <w:rsid w:val="003C23AC"/>
    <w:rsid w:val="003C43F3"/>
    <w:rsid w:val="00425CEF"/>
    <w:rsid w:val="004A0EE1"/>
    <w:rsid w:val="004A19F4"/>
    <w:rsid w:val="004D5431"/>
    <w:rsid w:val="00553858"/>
    <w:rsid w:val="00575C60"/>
    <w:rsid w:val="00592AAB"/>
    <w:rsid w:val="005F2D50"/>
    <w:rsid w:val="0067116F"/>
    <w:rsid w:val="00692738"/>
    <w:rsid w:val="006B409C"/>
    <w:rsid w:val="006E641F"/>
    <w:rsid w:val="006F5225"/>
    <w:rsid w:val="006F622C"/>
    <w:rsid w:val="00723A82"/>
    <w:rsid w:val="0077524A"/>
    <w:rsid w:val="007755F3"/>
    <w:rsid w:val="007C08C5"/>
    <w:rsid w:val="007C4B49"/>
    <w:rsid w:val="007D51B4"/>
    <w:rsid w:val="007E4984"/>
    <w:rsid w:val="00813AC3"/>
    <w:rsid w:val="008A7AA9"/>
    <w:rsid w:val="008C013D"/>
    <w:rsid w:val="008C08D6"/>
    <w:rsid w:val="00901D5E"/>
    <w:rsid w:val="00901DD6"/>
    <w:rsid w:val="0092115B"/>
    <w:rsid w:val="00925320"/>
    <w:rsid w:val="00925C0C"/>
    <w:rsid w:val="00942D34"/>
    <w:rsid w:val="009916A1"/>
    <w:rsid w:val="009F0D99"/>
    <w:rsid w:val="00A3605B"/>
    <w:rsid w:val="00A55DB3"/>
    <w:rsid w:val="00A94264"/>
    <w:rsid w:val="00A9743C"/>
    <w:rsid w:val="00AD7E89"/>
    <w:rsid w:val="00AE37C4"/>
    <w:rsid w:val="00AF4BE6"/>
    <w:rsid w:val="00B216E9"/>
    <w:rsid w:val="00B84580"/>
    <w:rsid w:val="00B85A61"/>
    <w:rsid w:val="00B872AC"/>
    <w:rsid w:val="00BA7FD3"/>
    <w:rsid w:val="00BD0D2D"/>
    <w:rsid w:val="00C0096F"/>
    <w:rsid w:val="00C05C19"/>
    <w:rsid w:val="00C52BBA"/>
    <w:rsid w:val="00C67138"/>
    <w:rsid w:val="00C73BE3"/>
    <w:rsid w:val="00C819C0"/>
    <w:rsid w:val="00CC3530"/>
    <w:rsid w:val="00CC4F90"/>
    <w:rsid w:val="00D7759D"/>
    <w:rsid w:val="00DC7C04"/>
    <w:rsid w:val="00DE02F5"/>
    <w:rsid w:val="00DE3FE3"/>
    <w:rsid w:val="00DF0B7D"/>
    <w:rsid w:val="00DF5E43"/>
    <w:rsid w:val="00E2584C"/>
    <w:rsid w:val="00E46FF6"/>
    <w:rsid w:val="00EB2139"/>
    <w:rsid w:val="00ED63C5"/>
    <w:rsid w:val="00F01D65"/>
    <w:rsid w:val="00F61873"/>
    <w:rsid w:val="00F63F30"/>
    <w:rsid w:val="00F91D97"/>
    <w:rsid w:val="00FA1EE3"/>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link w:val="Heading1Char"/>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link w:val="Heading5Char"/>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 w:type="character" w:customStyle="1" w:styleId="Heading1Char">
    <w:name w:val="Heading 1 Char"/>
    <w:basedOn w:val="DefaultParagraphFont"/>
    <w:link w:val="Heading1"/>
    <w:rsid w:val="00C67138"/>
    <w:rPr>
      <w:rFonts w:ascii="Arial" w:hAnsi="Arial"/>
      <w:b/>
      <w:sz w:val="24"/>
      <w:u w:val="single"/>
      <w:lang w:eastAsia="en-US"/>
    </w:rPr>
  </w:style>
  <w:style w:type="character" w:customStyle="1" w:styleId="Heading5Char">
    <w:name w:val="Heading 5 Char"/>
    <w:basedOn w:val="DefaultParagraphFont"/>
    <w:link w:val="Heading5"/>
    <w:rsid w:val="00C67138"/>
    <w:rPr>
      <w:rFonts w:ascii="Arial" w:hAnsi="Arial"/>
      <w:b/>
      <w:bCs/>
      <w:i/>
      <w:iCs/>
      <w:sz w:val="26"/>
      <w:szCs w:val="26"/>
      <w:lang w:eastAsia="en-US"/>
    </w:rPr>
  </w:style>
  <w:style w:type="paragraph" w:customStyle="1" w:styleId="paragraph">
    <w:name w:val="paragraph"/>
    <w:basedOn w:val="Normal"/>
    <w:rsid w:val="00C67138"/>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C6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 w:id="466239050">
      <w:bodyDiv w:val="1"/>
      <w:marLeft w:val="0"/>
      <w:marRight w:val="0"/>
      <w:marTop w:val="0"/>
      <w:marBottom w:val="0"/>
      <w:divBdr>
        <w:top w:val="none" w:sz="0" w:space="0" w:color="auto"/>
        <w:left w:val="none" w:sz="0" w:space="0" w:color="auto"/>
        <w:bottom w:val="none" w:sz="0" w:space="0" w:color="auto"/>
        <w:right w:val="none" w:sz="0" w:space="0" w:color="auto"/>
      </w:divBdr>
      <w:divsChild>
        <w:div w:id="9381584">
          <w:marLeft w:val="0"/>
          <w:marRight w:val="0"/>
          <w:marTop w:val="0"/>
          <w:marBottom w:val="0"/>
          <w:divBdr>
            <w:top w:val="none" w:sz="0" w:space="0" w:color="auto"/>
            <w:left w:val="none" w:sz="0" w:space="0" w:color="auto"/>
            <w:bottom w:val="none" w:sz="0" w:space="0" w:color="auto"/>
            <w:right w:val="none" w:sz="0" w:space="0" w:color="auto"/>
          </w:divBdr>
        </w:div>
        <w:div w:id="1783500292">
          <w:marLeft w:val="0"/>
          <w:marRight w:val="0"/>
          <w:marTop w:val="0"/>
          <w:marBottom w:val="0"/>
          <w:divBdr>
            <w:top w:val="none" w:sz="0" w:space="0" w:color="auto"/>
            <w:left w:val="none" w:sz="0" w:space="0" w:color="auto"/>
            <w:bottom w:val="none" w:sz="0" w:space="0" w:color="auto"/>
            <w:right w:val="none" w:sz="0" w:space="0" w:color="auto"/>
          </w:divBdr>
        </w:div>
        <w:div w:id="595402091">
          <w:marLeft w:val="0"/>
          <w:marRight w:val="0"/>
          <w:marTop w:val="0"/>
          <w:marBottom w:val="0"/>
          <w:divBdr>
            <w:top w:val="none" w:sz="0" w:space="0" w:color="auto"/>
            <w:left w:val="none" w:sz="0" w:space="0" w:color="auto"/>
            <w:bottom w:val="none" w:sz="0" w:space="0" w:color="auto"/>
            <w:right w:val="none" w:sz="0" w:space="0" w:color="auto"/>
          </w:divBdr>
        </w:div>
        <w:div w:id="699353981">
          <w:marLeft w:val="0"/>
          <w:marRight w:val="0"/>
          <w:marTop w:val="0"/>
          <w:marBottom w:val="0"/>
          <w:divBdr>
            <w:top w:val="none" w:sz="0" w:space="0" w:color="auto"/>
            <w:left w:val="none" w:sz="0" w:space="0" w:color="auto"/>
            <w:bottom w:val="none" w:sz="0" w:space="0" w:color="auto"/>
            <w:right w:val="none" w:sz="0" w:space="0" w:color="auto"/>
          </w:divBdr>
        </w:div>
        <w:div w:id="1560626166">
          <w:marLeft w:val="0"/>
          <w:marRight w:val="0"/>
          <w:marTop w:val="0"/>
          <w:marBottom w:val="0"/>
          <w:divBdr>
            <w:top w:val="none" w:sz="0" w:space="0" w:color="auto"/>
            <w:left w:val="none" w:sz="0" w:space="0" w:color="auto"/>
            <w:bottom w:val="none" w:sz="0" w:space="0" w:color="auto"/>
            <w:right w:val="none" w:sz="0" w:space="0" w:color="auto"/>
          </w:divBdr>
        </w:div>
        <w:div w:id="1164584619">
          <w:marLeft w:val="0"/>
          <w:marRight w:val="0"/>
          <w:marTop w:val="0"/>
          <w:marBottom w:val="0"/>
          <w:divBdr>
            <w:top w:val="none" w:sz="0" w:space="0" w:color="auto"/>
            <w:left w:val="none" w:sz="0" w:space="0" w:color="auto"/>
            <w:bottom w:val="none" w:sz="0" w:space="0" w:color="auto"/>
            <w:right w:val="none" w:sz="0" w:space="0" w:color="auto"/>
          </w:divBdr>
        </w:div>
        <w:div w:id="1914974027">
          <w:marLeft w:val="0"/>
          <w:marRight w:val="0"/>
          <w:marTop w:val="0"/>
          <w:marBottom w:val="0"/>
          <w:divBdr>
            <w:top w:val="none" w:sz="0" w:space="0" w:color="auto"/>
            <w:left w:val="none" w:sz="0" w:space="0" w:color="auto"/>
            <w:bottom w:val="none" w:sz="0" w:space="0" w:color="auto"/>
            <w:right w:val="none" w:sz="0" w:space="0" w:color="auto"/>
          </w:divBdr>
        </w:div>
        <w:div w:id="71972999">
          <w:marLeft w:val="0"/>
          <w:marRight w:val="0"/>
          <w:marTop w:val="0"/>
          <w:marBottom w:val="0"/>
          <w:divBdr>
            <w:top w:val="none" w:sz="0" w:space="0" w:color="auto"/>
            <w:left w:val="none" w:sz="0" w:space="0" w:color="auto"/>
            <w:bottom w:val="none" w:sz="0" w:space="0" w:color="auto"/>
            <w:right w:val="none" w:sz="0" w:space="0" w:color="auto"/>
          </w:divBdr>
        </w:div>
        <w:div w:id="1386182068">
          <w:marLeft w:val="0"/>
          <w:marRight w:val="0"/>
          <w:marTop w:val="0"/>
          <w:marBottom w:val="0"/>
          <w:divBdr>
            <w:top w:val="none" w:sz="0" w:space="0" w:color="auto"/>
            <w:left w:val="none" w:sz="0" w:space="0" w:color="auto"/>
            <w:bottom w:val="none" w:sz="0" w:space="0" w:color="auto"/>
            <w:right w:val="none" w:sz="0" w:space="0" w:color="auto"/>
          </w:divBdr>
        </w:div>
      </w:divsChild>
    </w:div>
    <w:div w:id="1663270268">
      <w:bodyDiv w:val="1"/>
      <w:marLeft w:val="0"/>
      <w:marRight w:val="0"/>
      <w:marTop w:val="0"/>
      <w:marBottom w:val="0"/>
      <w:divBdr>
        <w:top w:val="none" w:sz="0" w:space="0" w:color="auto"/>
        <w:left w:val="none" w:sz="0" w:space="0" w:color="auto"/>
        <w:bottom w:val="none" w:sz="0" w:space="0" w:color="auto"/>
        <w:right w:val="none" w:sz="0" w:space="0" w:color="auto"/>
      </w:divBdr>
      <w:divsChild>
        <w:div w:id="1008219365">
          <w:marLeft w:val="0"/>
          <w:marRight w:val="0"/>
          <w:marTop w:val="0"/>
          <w:marBottom w:val="0"/>
          <w:divBdr>
            <w:top w:val="none" w:sz="0" w:space="0" w:color="auto"/>
            <w:left w:val="none" w:sz="0" w:space="0" w:color="auto"/>
            <w:bottom w:val="none" w:sz="0" w:space="0" w:color="auto"/>
            <w:right w:val="none" w:sz="0" w:space="0" w:color="auto"/>
          </w:divBdr>
        </w:div>
        <w:div w:id="1967159532">
          <w:marLeft w:val="0"/>
          <w:marRight w:val="0"/>
          <w:marTop w:val="0"/>
          <w:marBottom w:val="0"/>
          <w:divBdr>
            <w:top w:val="none" w:sz="0" w:space="0" w:color="auto"/>
            <w:left w:val="none" w:sz="0" w:space="0" w:color="auto"/>
            <w:bottom w:val="none" w:sz="0" w:space="0" w:color="auto"/>
            <w:right w:val="none" w:sz="0" w:space="0" w:color="auto"/>
          </w:divBdr>
        </w:div>
        <w:div w:id="897012003">
          <w:marLeft w:val="0"/>
          <w:marRight w:val="0"/>
          <w:marTop w:val="0"/>
          <w:marBottom w:val="0"/>
          <w:divBdr>
            <w:top w:val="none" w:sz="0" w:space="0" w:color="auto"/>
            <w:left w:val="none" w:sz="0" w:space="0" w:color="auto"/>
            <w:bottom w:val="none" w:sz="0" w:space="0" w:color="auto"/>
            <w:right w:val="none" w:sz="0" w:space="0" w:color="auto"/>
          </w:divBdr>
        </w:div>
        <w:div w:id="1496070262">
          <w:marLeft w:val="0"/>
          <w:marRight w:val="0"/>
          <w:marTop w:val="0"/>
          <w:marBottom w:val="0"/>
          <w:divBdr>
            <w:top w:val="none" w:sz="0" w:space="0" w:color="auto"/>
            <w:left w:val="none" w:sz="0" w:space="0" w:color="auto"/>
            <w:bottom w:val="none" w:sz="0" w:space="0" w:color="auto"/>
            <w:right w:val="none" w:sz="0" w:space="0" w:color="auto"/>
          </w:divBdr>
        </w:div>
        <w:div w:id="1233009519">
          <w:marLeft w:val="0"/>
          <w:marRight w:val="0"/>
          <w:marTop w:val="0"/>
          <w:marBottom w:val="0"/>
          <w:divBdr>
            <w:top w:val="none" w:sz="0" w:space="0" w:color="auto"/>
            <w:left w:val="none" w:sz="0" w:space="0" w:color="auto"/>
            <w:bottom w:val="none" w:sz="0" w:space="0" w:color="auto"/>
            <w:right w:val="none" w:sz="0" w:space="0" w:color="auto"/>
          </w:divBdr>
        </w:div>
        <w:div w:id="731853862">
          <w:marLeft w:val="0"/>
          <w:marRight w:val="0"/>
          <w:marTop w:val="0"/>
          <w:marBottom w:val="0"/>
          <w:divBdr>
            <w:top w:val="none" w:sz="0" w:space="0" w:color="auto"/>
            <w:left w:val="none" w:sz="0" w:space="0" w:color="auto"/>
            <w:bottom w:val="none" w:sz="0" w:space="0" w:color="auto"/>
            <w:right w:val="none" w:sz="0" w:space="0" w:color="auto"/>
          </w:divBdr>
        </w:div>
        <w:div w:id="1874266767">
          <w:marLeft w:val="0"/>
          <w:marRight w:val="0"/>
          <w:marTop w:val="0"/>
          <w:marBottom w:val="0"/>
          <w:divBdr>
            <w:top w:val="none" w:sz="0" w:space="0" w:color="auto"/>
            <w:left w:val="none" w:sz="0" w:space="0" w:color="auto"/>
            <w:bottom w:val="none" w:sz="0" w:space="0" w:color="auto"/>
            <w:right w:val="none" w:sz="0" w:space="0" w:color="auto"/>
          </w:divBdr>
        </w:div>
        <w:div w:id="1923443455">
          <w:marLeft w:val="0"/>
          <w:marRight w:val="0"/>
          <w:marTop w:val="0"/>
          <w:marBottom w:val="0"/>
          <w:divBdr>
            <w:top w:val="none" w:sz="0" w:space="0" w:color="auto"/>
            <w:left w:val="none" w:sz="0" w:space="0" w:color="auto"/>
            <w:bottom w:val="none" w:sz="0" w:space="0" w:color="auto"/>
            <w:right w:val="none" w:sz="0" w:space="0" w:color="auto"/>
          </w:divBdr>
        </w:div>
        <w:div w:id="992370834">
          <w:marLeft w:val="0"/>
          <w:marRight w:val="0"/>
          <w:marTop w:val="0"/>
          <w:marBottom w:val="0"/>
          <w:divBdr>
            <w:top w:val="none" w:sz="0" w:space="0" w:color="auto"/>
            <w:left w:val="none" w:sz="0" w:space="0" w:color="auto"/>
            <w:bottom w:val="none" w:sz="0" w:space="0" w:color="auto"/>
            <w:right w:val="none" w:sz="0" w:space="0" w:color="auto"/>
          </w:divBdr>
        </w:div>
      </w:divsChild>
    </w:div>
    <w:div w:id="1974552169">
      <w:bodyDiv w:val="1"/>
      <w:marLeft w:val="0"/>
      <w:marRight w:val="0"/>
      <w:marTop w:val="0"/>
      <w:marBottom w:val="0"/>
      <w:divBdr>
        <w:top w:val="none" w:sz="0" w:space="0" w:color="auto"/>
        <w:left w:val="none" w:sz="0" w:space="0" w:color="auto"/>
        <w:bottom w:val="none" w:sz="0" w:space="0" w:color="auto"/>
        <w:right w:val="none" w:sz="0" w:space="0" w:color="auto"/>
      </w:divBdr>
      <w:divsChild>
        <w:div w:id="848326737">
          <w:marLeft w:val="0"/>
          <w:marRight w:val="0"/>
          <w:marTop w:val="0"/>
          <w:marBottom w:val="0"/>
          <w:divBdr>
            <w:top w:val="none" w:sz="0" w:space="0" w:color="auto"/>
            <w:left w:val="none" w:sz="0" w:space="0" w:color="auto"/>
            <w:bottom w:val="none" w:sz="0" w:space="0" w:color="auto"/>
            <w:right w:val="none" w:sz="0" w:space="0" w:color="auto"/>
          </w:divBdr>
        </w:div>
        <w:div w:id="1436443808">
          <w:marLeft w:val="0"/>
          <w:marRight w:val="0"/>
          <w:marTop w:val="0"/>
          <w:marBottom w:val="0"/>
          <w:divBdr>
            <w:top w:val="none" w:sz="0" w:space="0" w:color="auto"/>
            <w:left w:val="none" w:sz="0" w:space="0" w:color="auto"/>
            <w:bottom w:val="none" w:sz="0" w:space="0" w:color="auto"/>
            <w:right w:val="none" w:sz="0" w:space="0" w:color="auto"/>
          </w:divBdr>
        </w:div>
        <w:div w:id="434399631">
          <w:marLeft w:val="0"/>
          <w:marRight w:val="0"/>
          <w:marTop w:val="0"/>
          <w:marBottom w:val="0"/>
          <w:divBdr>
            <w:top w:val="none" w:sz="0" w:space="0" w:color="auto"/>
            <w:left w:val="none" w:sz="0" w:space="0" w:color="auto"/>
            <w:bottom w:val="none" w:sz="0" w:space="0" w:color="auto"/>
            <w:right w:val="none" w:sz="0" w:space="0" w:color="auto"/>
          </w:divBdr>
        </w:div>
        <w:div w:id="1489902660">
          <w:marLeft w:val="0"/>
          <w:marRight w:val="0"/>
          <w:marTop w:val="0"/>
          <w:marBottom w:val="0"/>
          <w:divBdr>
            <w:top w:val="none" w:sz="0" w:space="0" w:color="auto"/>
            <w:left w:val="none" w:sz="0" w:space="0" w:color="auto"/>
            <w:bottom w:val="none" w:sz="0" w:space="0" w:color="auto"/>
            <w:right w:val="none" w:sz="0" w:space="0" w:color="auto"/>
          </w:divBdr>
        </w:div>
        <w:div w:id="505633925">
          <w:marLeft w:val="0"/>
          <w:marRight w:val="0"/>
          <w:marTop w:val="0"/>
          <w:marBottom w:val="0"/>
          <w:divBdr>
            <w:top w:val="none" w:sz="0" w:space="0" w:color="auto"/>
            <w:left w:val="none" w:sz="0" w:space="0" w:color="auto"/>
            <w:bottom w:val="none" w:sz="0" w:space="0" w:color="auto"/>
            <w:right w:val="none" w:sz="0" w:space="0" w:color="auto"/>
          </w:divBdr>
        </w:div>
        <w:div w:id="625114899">
          <w:marLeft w:val="0"/>
          <w:marRight w:val="0"/>
          <w:marTop w:val="0"/>
          <w:marBottom w:val="0"/>
          <w:divBdr>
            <w:top w:val="none" w:sz="0" w:space="0" w:color="auto"/>
            <w:left w:val="none" w:sz="0" w:space="0" w:color="auto"/>
            <w:bottom w:val="none" w:sz="0" w:space="0" w:color="auto"/>
            <w:right w:val="none" w:sz="0" w:space="0" w:color="auto"/>
          </w:divBdr>
        </w:div>
        <w:div w:id="1180923378">
          <w:marLeft w:val="0"/>
          <w:marRight w:val="0"/>
          <w:marTop w:val="0"/>
          <w:marBottom w:val="0"/>
          <w:divBdr>
            <w:top w:val="none" w:sz="0" w:space="0" w:color="auto"/>
            <w:left w:val="none" w:sz="0" w:space="0" w:color="auto"/>
            <w:bottom w:val="none" w:sz="0" w:space="0" w:color="auto"/>
            <w:right w:val="none" w:sz="0" w:space="0" w:color="auto"/>
          </w:divBdr>
        </w:div>
        <w:div w:id="177696344">
          <w:marLeft w:val="0"/>
          <w:marRight w:val="0"/>
          <w:marTop w:val="0"/>
          <w:marBottom w:val="0"/>
          <w:divBdr>
            <w:top w:val="none" w:sz="0" w:space="0" w:color="auto"/>
            <w:left w:val="none" w:sz="0" w:space="0" w:color="auto"/>
            <w:bottom w:val="none" w:sz="0" w:space="0" w:color="auto"/>
            <w:right w:val="none" w:sz="0" w:space="0" w:color="auto"/>
          </w:divBdr>
        </w:div>
        <w:div w:id="21898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Props1.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3.xml><?xml version="1.0" encoding="utf-8"?>
<ds:datastoreItem xmlns:ds="http://schemas.openxmlformats.org/officeDocument/2006/customXml" ds:itemID="{E88BA6DE-8680-4560-A4A6-290F5282BF03}">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534fe24-9ab2-45f3-bec3-e82abe054951"/>
    <ds:schemaRef ds:uri="http://schemas.microsoft.com/office/2006/metadata/properties"/>
    <ds:schemaRef ds:uri="http://purl.org/dc/elements/1.1/"/>
    <ds:schemaRef ds:uri="http://purl.org/dc/dcmitype/"/>
    <ds:schemaRef ds:uri="http://purl.org/dc/terms/"/>
    <ds:schemaRef ds:uri="4a6290fa-b628-402d-8712-489805c3c2d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1016</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Michelle Coleman</cp:lastModifiedBy>
  <cp:revision>8</cp:revision>
  <cp:lastPrinted>2009-07-02T10:48:00Z</cp:lastPrinted>
  <dcterms:created xsi:type="dcterms:W3CDTF">2026-07-22T07:33:00Z</dcterms:created>
  <dcterms:modified xsi:type="dcterms:W3CDTF">2026-07-22T10:43:00Z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